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A9F2A" w14:textId="77777777" w:rsidR="007A19AF" w:rsidRDefault="007A19AF">
      <w:pPr>
        <w:rPr>
          <w:rFonts w:ascii="Arial" w:hAnsi="Arial" w:cs="Arial"/>
          <w:sz w:val="22"/>
          <w:szCs w:val="22"/>
        </w:rPr>
      </w:pPr>
    </w:p>
    <w:tbl>
      <w:tblPr>
        <w:tblW w:w="9468" w:type="dxa"/>
        <w:tblLayout w:type="fixed"/>
        <w:tblLook w:val="01E0" w:firstRow="1" w:lastRow="1" w:firstColumn="1" w:lastColumn="1" w:noHBand="0" w:noVBand="0"/>
      </w:tblPr>
      <w:tblGrid>
        <w:gridCol w:w="2952"/>
        <w:gridCol w:w="2952"/>
        <w:gridCol w:w="3564"/>
      </w:tblGrid>
      <w:tr w:rsidR="007A19AF" w14:paraId="11F00D71" w14:textId="77777777">
        <w:tc>
          <w:tcPr>
            <w:tcW w:w="2952" w:type="dxa"/>
            <w:vAlign w:val="center"/>
          </w:tcPr>
          <w:p w14:paraId="0108C988" w14:textId="77777777" w:rsidR="007A19AF" w:rsidRDefault="00EA729F">
            <w:pPr>
              <w:widowControl w:val="0"/>
              <w:rPr>
                <w:rFonts w:ascii="Arial" w:hAnsi="Arial" w:cs="Arial"/>
                <w:sz w:val="22"/>
                <w:szCs w:val="22"/>
              </w:rPr>
            </w:pPr>
            <w:r>
              <w:rPr>
                <w:rFonts w:ascii="Arial" w:hAnsi="Arial" w:cs="Arial"/>
                <w:sz w:val="22"/>
                <w:szCs w:val="22"/>
              </w:rPr>
              <w:t>207 West Second Street</w:t>
            </w:r>
          </w:p>
          <w:p w14:paraId="49280D85" w14:textId="77777777" w:rsidR="007A19AF" w:rsidRDefault="00EA729F">
            <w:pPr>
              <w:widowControl w:val="0"/>
              <w:rPr>
                <w:rFonts w:ascii="Arial" w:hAnsi="Arial" w:cs="Arial"/>
                <w:sz w:val="22"/>
                <w:szCs w:val="22"/>
              </w:rPr>
            </w:pPr>
            <w:r>
              <w:rPr>
                <w:rFonts w:ascii="Arial" w:hAnsi="Arial" w:cs="Arial"/>
                <w:sz w:val="22"/>
                <w:szCs w:val="22"/>
              </w:rPr>
              <w:t>Post Office Box 519</w:t>
            </w:r>
          </w:p>
          <w:p w14:paraId="209B7A1E" w14:textId="77777777" w:rsidR="007A19AF" w:rsidRDefault="00EA729F">
            <w:pPr>
              <w:widowControl w:val="0"/>
              <w:rPr>
                <w:rFonts w:ascii="Arial" w:hAnsi="Arial" w:cs="Arial"/>
                <w:sz w:val="22"/>
                <w:szCs w:val="22"/>
              </w:rPr>
            </w:pPr>
            <w:r>
              <w:rPr>
                <w:rFonts w:ascii="Arial" w:hAnsi="Arial" w:cs="Arial"/>
                <w:sz w:val="22"/>
                <w:szCs w:val="22"/>
              </w:rPr>
              <w:t>Kenly, North Carolina 27542</w:t>
            </w:r>
          </w:p>
        </w:tc>
        <w:tc>
          <w:tcPr>
            <w:tcW w:w="2952" w:type="dxa"/>
          </w:tcPr>
          <w:p w14:paraId="07A884D4" w14:textId="77777777" w:rsidR="007A19AF" w:rsidRDefault="00EA729F">
            <w:pPr>
              <w:widowControl w:val="0"/>
              <w:jc w:val="center"/>
              <w:rPr>
                <w:rFonts w:ascii="Arial" w:hAnsi="Arial" w:cs="Arial"/>
                <w:sz w:val="22"/>
                <w:szCs w:val="22"/>
              </w:rPr>
            </w:pPr>
            <w:r>
              <w:rPr>
                <w:noProof/>
              </w:rPr>
              <w:drawing>
                <wp:inline distT="0" distB="0" distL="0" distR="0" wp14:anchorId="60CEF42D" wp14:editId="7E7A507D">
                  <wp:extent cx="1381125" cy="1381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tretch>
                            <a:fillRect/>
                          </a:stretch>
                        </pic:blipFill>
                        <pic:spPr bwMode="auto">
                          <a:xfrm>
                            <a:off x="0" y="0"/>
                            <a:ext cx="1381125" cy="1381125"/>
                          </a:xfrm>
                          <a:prstGeom prst="rect">
                            <a:avLst/>
                          </a:prstGeom>
                        </pic:spPr>
                      </pic:pic>
                    </a:graphicData>
                  </a:graphic>
                </wp:inline>
              </w:drawing>
            </w:r>
          </w:p>
        </w:tc>
        <w:tc>
          <w:tcPr>
            <w:tcW w:w="3564" w:type="dxa"/>
            <w:vAlign w:val="center"/>
          </w:tcPr>
          <w:p w14:paraId="66FC67C5" w14:textId="77777777" w:rsidR="007A19AF" w:rsidRDefault="00EA729F">
            <w:pPr>
              <w:widowControl w:val="0"/>
              <w:jc w:val="right"/>
              <w:rPr>
                <w:rFonts w:ascii="Arial" w:hAnsi="Arial" w:cs="Arial"/>
                <w:sz w:val="22"/>
                <w:szCs w:val="22"/>
              </w:rPr>
            </w:pPr>
            <w:r>
              <w:rPr>
                <w:rFonts w:ascii="Arial" w:hAnsi="Arial" w:cs="Arial"/>
                <w:sz w:val="22"/>
                <w:szCs w:val="22"/>
              </w:rPr>
              <w:t>Telephone: (919) 284-2116</w:t>
            </w:r>
          </w:p>
          <w:p w14:paraId="7C25D797" w14:textId="77777777" w:rsidR="007A19AF" w:rsidRDefault="00EA729F">
            <w:pPr>
              <w:widowControl w:val="0"/>
              <w:jc w:val="right"/>
              <w:rPr>
                <w:rFonts w:ascii="Arial" w:hAnsi="Arial" w:cs="Arial"/>
                <w:sz w:val="22"/>
                <w:szCs w:val="22"/>
              </w:rPr>
            </w:pPr>
            <w:r>
              <w:rPr>
                <w:rFonts w:ascii="Arial" w:hAnsi="Arial" w:cs="Arial"/>
                <w:sz w:val="22"/>
                <w:szCs w:val="22"/>
              </w:rPr>
              <w:t>Fax: (919) 284-5229</w:t>
            </w:r>
          </w:p>
          <w:p w14:paraId="52CCB2B1" w14:textId="77777777" w:rsidR="007A19AF" w:rsidRDefault="00EA729F">
            <w:pPr>
              <w:widowControl w:val="0"/>
              <w:jc w:val="right"/>
              <w:rPr>
                <w:rFonts w:ascii="Arial" w:hAnsi="Arial" w:cs="Arial"/>
                <w:sz w:val="22"/>
                <w:szCs w:val="22"/>
              </w:rPr>
            </w:pPr>
            <w:r>
              <w:rPr>
                <w:rFonts w:ascii="Arial" w:hAnsi="Arial" w:cs="Arial"/>
                <w:sz w:val="22"/>
                <w:szCs w:val="22"/>
              </w:rPr>
              <w:t>Website: www.townofkenly.com</w:t>
            </w:r>
          </w:p>
        </w:tc>
      </w:tr>
    </w:tbl>
    <w:p w14:paraId="4140530F" w14:textId="77777777" w:rsidR="007A19AF" w:rsidRDefault="00EA729F">
      <w:pPr>
        <w:ind w:left="2880"/>
        <w:rPr>
          <w:rFonts w:ascii="Arial" w:hAnsi="Arial" w:cs="Arial"/>
          <w:b/>
        </w:rPr>
      </w:pPr>
      <w:r>
        <w:rPr>
          <w:rFonts w:ascii="Arial" w:hAnsi="Arial" w:cs="Arial"/>
          <w:b/>
        </w:rPr>
        <w:t xml:space="preserve">       Incorporated 1887</w:t>
      </w:r>
    </w:p>
    <w:p w14:paraId="5BBF4A54" w14:textId="77777777" w:rsidR="007A19AF" w:rsidRDefault="00EA729F">
      <w:pPr>
        <w:ind w:left="2880"/>
        <w:rPr>
          <w:rFonts w:ascii="Arial" w:hAnsi="Arial" w:cs="Arial"/>
          <w:b/>
        </w:rPr>
      </w:pPr>
      <w:r>
        <w:rPr>
          <w:rFonts w:ascii="Arial" w:hAnsi="Arial" w:cs="Arial"/>
          <w:b/>
          <w:noProof/>
        </w:rPr>
        <mc:AlternateContent>
          <mc:Choice Requires="wps">
            <w:drawing>
              <wp:anchor distT="0" distB="0" distL="0" distR="0" simplePos="0" relativeHeight="3" behindDoc="0" locked="0" layoutInCell="0" allowOverlap="1" wp14:anchorId="356ECC10" wp14:editId="76975701">
                <wp:simplePos x="0" y="0"/>
                <wp:positionH relativeFrom="column">
                  <wp:posOffset>-113665</wp:posOffset>
                </wp:positionH>
                <wp:positionV relativeFrom="paragraph">
                  <wp:posOffset>114935</wp:posOffset>
                </wp:positionV>
                <wp:extent cx="6058535" cy="1270"/>
                <wp:effectExtent l="9525" t="13335" r="9525" b="15240"/>
                <wp:wrapNone/>
                <wp:docPr id="2" name="Line 4"/>
                <wp:cNvGraphicFramePr/>
                <a:graphic xmlns:a="http://schemas.openxmlformats.org/drawingml/2006/main">
                  <a:graphicData uri="http://schemas.microsoft.com/office/word/2010/wordprocessingShape">
                    <wps:wsp>
                      <wps:cNvCnPr/>
                      <wps:spPr>
                        <a:xfrm>
                          <a:off x="0" y="0"/>
                          <a:ext cx="6058080" cy="0"/>
                        </a:xfrm>
                        <a:prstGeom prst="line">
                          <a:avLst/>
                        </a:prstGeom>
                        <a:ln w="127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8.95pt,9.05pt" to="468pt,9.05pt" ID="Line 4" stroked="t" style="position:absolute" wp14:anchorId="2F1F01E3">
                <v:stroke color="black" weight="12600" joinstyle="round" endcap="flat"/>
                <v:fill o:detectmouseclick="t" on="false"/>
              </v:line>
            </w:pict>
          </mc:Fallback>
        </mc:AlternateContent>
      </w:r>
    </w:p>
    <w:p w14:paraId="54935739" w14:textId="77777777" w:rsidR="007A19AF" w:rsidRDefault="00EA729F">
      <w:pPr>
        <w:rPr>
          <w:rFonts w:ascii="Arial" w:hAnsi="Arial" w:cs="Arial"/>
          <w:b/>
          <w:bCs/>
        </w:rPr>
      </w:pPr>
      <w:r>
        <w:rPr>
          <w:rFonts w:ascii="Arial" w:hAnsi="Arial" w:cs="Arial"/>
          <w:b/>
          <w:bCs/>
        </w:rPr>
        <w:t>SANITARY SEWER ANNUAL COMPLIANCE REPORT FOR 202</w:t>
      </w:r>
      <w:r w:rsidR="00772856">
        <w:rPr>
          <w:rFonts w:ascii="Arial" w:hAnsi="Arial" w:cs="Arial"/>
          <w:b/>
          <w:bCs/>
        </w:rPr>
        <w:t>2</w:t>
      </w:r>
    </w:p>
    <w:p w14:paraId="33861653" w14:textId="77777777" w:rsidR="007A19AF" w:rsidRDefault="007A19AF">
      <w:pPr>
        <w:rPr>
          <w:rFonts w:ascii="Arial" w:hAnsi="Arial" w:cs="Arial"/>
          <w:b/>
          <w:sz w:val="22"/>
          <w:szCs w:val="22"/>
        </w:rPr>
      </w:pPr>
    </w:p>
    <w:p w14:paraId="3A134838" w14:textId="77777777" w:rsidR="007A19AF" w:rsidRDefault="00EA729F">
      <w:pPr>
        <w:rPr>
          <w:rFonts w:ascii="Arial" w:hAnsi="Arial" w:cs="Arial"/>
          <w:b/>
          <w:sz w:val="22"/>
          <w:szCs w:val="22"/>
        </w:rPr>
      </w:pPr>
      <w:r>
        <w:rPr>
          <w:rFonts w:ascii="Arial" w:hAnsi="Arial" w:cs="Arial"/>
          <w:b/>
          <w:sz w:val="22"/>
          <w:szCs w:val="22"/>
        </w:rPr>
        <w:t>General Information Wastewater Treatment Facility</w:t>
      </w:r>
    </w:p>
    <w:p w14:paraId="10C64C8F" w14:textId="77777777" w:rsidR="007A19AF" w:rsidRDefault="007A19AF">
      <w:pPr>
        <w:rPr>
          <w:rFonts w:ascii="Arial" w:hAnsi="Arial" w:cs="Arial"/>
          <w:b/>
          <w:sz w:val="22"/>
          <w:szCs w:val="22"/>
        </w:rPr>
      </w:pPr>
    </w:p>
    <w:p w14:paraId="2273D6FA" w14:textId="77777777" w:rsidR="007A19AF" w:rsidRDefault="00EA729F">
      <w:pPr>
        <w:jc w:val="both"/>
        <w:rPr>
          <w:rFonts w:ascii="Arial" w:hAnsi="Arial" w:cs="Arial"/>
          <w:sz w:val="22"/>
          <w:szCs w:val="22"/>
        </w:rPr>
      </w:pPr>
      <w:r>
        <w:rPr>
          <w:rFonts w:ascii="Arial" w:hAnsi="Arial" w:cs="Arial"/>
          <w:sz w:val="22"/>
          <w:szCs w:val="22"/>
        </w:rPr>
        <w:t xml:space="preserve">Town of Kenly Regional Wastewater Treatment Facility (Kenly WWTF) is located at 201 Truck Stop Road (SR 2399), near its intersection with U.S. Hwy. 301. The facility is operated under NPDES Permit No. NC0064891, and receives wastewater from the Town of Kenly, Kenly Industrial Park, and the Town of Micro. </w:t>
      </w:r>
    </w:p>
    <w:p w14:paraId="510B042B" w14:textId="77777777" w:rsidR="007A19AF" w:rsidRDefault="007A19AF">
      <w:pPr>
        <w:rPr>
          <w:rFonts w:ascii="Arial" w:hAnsi="Arial" w:cs="Arial"/>
          <w:sz w:val="22"/>
          <w:szCs w:val="22"/>
        </w:rPr>
      </w:pPr>
    </w:p>
    <w:p w14:paraId="2EABCD2C" w14:textId="77777777" w:rsidR="007A19AF" w:rsidRDefault="00EA729F">
      <w:pPr>
        <w:rPr>
          <w:rFonts w:ascii="Arial" w:hAnsi="Arial" w:cs="Arial"/>
          <w:sz w:val="22"/>
          <w:szCs w:val="22"/>
        </w:rPr>
      </w:pPr>
      <w:r>
        <w:rPr>
          <w:rFonts w:ascii="Arial" w:hAnsi="Arial" w:cs="Arial"/>
          <w:sz w:val="22"/>
          <w:szCs w:val="22"/>
        </w:rPr>
        <w:t>The treatment facility consists of the following components:</w:t>
      </w:r>
    </w:p>
    <w:p w14:paraId="0FEAEBE0" w14:textId="77777777" w:rsidR="007A19AF" w:rsidRDefault="00EA729F">
      <w:pPr>
        <w:pStyle w:val="ListParagraph"/>
        <w:numPr>
          <w:ilvl w:val="0"/>
          <w:numId w:val="1"/>
        </w:numPr>
        <w:rPr>
          <w:rFonts w:ascii="Arial" w:hAnsi="Arial" w:cs="Arial"/>
          <w:sz w:val="22"/>
          <w:szCs w:val="22"/>
        </w:rPr>
      </w:pPr>
      <w:r>
        <w:rPr>
          <w:rFonts w:ascii="Arial" w:hAnsi="Arial" w:cs="Arial"/>
          <w:sz w:val="22"/>
          <w:szCs w:val="22"/>
          <w:u w:val="single"/>
        </w:rPr>
        <w:t>Influent mechanical screen:</w:t>
      </w:r>
      <w:r>
        <w:rPr>
          <w:rFonts w:ascii="Arial" w:hAnsi="Arial" w:cs="Arial"/>
          <w:sz w:val="22"/>
          <w:szCs w:val="22"/>
        </w:rPr>
        <w:t xml:space="preserve"> </w:t>
      </w:r>
      <w:r>
        <w:rPr>
          <w:rFonts w:ascii="Arial" w:hAnsi="Arial" w:cs="Arial"/>
          <w:i/>
          <w:iCs/>
          <w:sz w:val="22"/>
          <w:szCs w:val="22"/>
        </w:rPr>
        <w:t xml:space="preserve">Prevents inorganic material such as rags, twigs, rocks, toys, silverware, or other Inorganic material that will not breakdown during the treatment process and could be harmful to other mechanical devices such as pumps. </w:t>
      </w:r>
    </w:p>
    <w:p w14:paraId="4267B084" w14:textId="77777777" w:rsidR="007A19AF" w:rsidRDefault="007A19AF">
      <w:pPr>
        <w:pStyle w:val="ListParagraph"/>
        <w:rPr>
          <w:rFonts w:ascii="Arial" w:hAnsi="Arial" w:cs="Arial"/>
          <w:sz w:val="22"/>
          <w:szCs w:val="22"/>
        </w:rPr>
      </w:pPr>
    </w:p>
    <w:p w14:paraId="1EEB7E03" w14:textId="77777777" w:rsidR="007A19AF" w:rsidRDefault="00EA729F">
      <w:pPr>
        <w:pStyle w:val="ListParagraph"/>
        <w:numPr>
          <w:ilvl w:val="0"/>
          <w:numId w:val="1"/>
        </w:numPr>
        <w:jc w:val="both"/>
        <w:rPr>
          <w:rFonts w:ascii="Arial" w:hAnsi="Arial" w:cs="Arial"/>
          <w:sz w:val="22"/>
          <w:szCs w:val="22"/>
        </w:rPr>
      </w:pPr>
      <w:r>
        <w:rPr>
          <w:rFonts w:ascii="Arial" w:hAnsi="Arial" w:cs="Arial"/>
          <w:sz w:val="22"/>
          <w:szCs w:val="22"/>
          <w:u w:val="single"/>
        </w:rPr>
        <w:t xml:space="preserve">Dual train </w:t>
      </w:r>
      <w:proofErr w:type="spellStart"/>
      <w:r>
        <w:rPr>
          <w:rFonts w:ascii="Arial" w:hAnsi="Arial" w:cs="Arial"/>
          <w:sz w:val="22"/>
          <w:szCs w:val="22"/>
          <w:u w:val="single"/>
        </w:rPr>
        <w:t>Envirex</w:t>
      </w:r>
      <w:proofErr w:type="spellEnd"/>
      <w:r>
        <w:rPr>
          <w:rFonts w:ascii="Arial" w:hAnsi="Arial" w:cs="Arial"/>
          <w:sz w:val="22"/>
          <w:szCs w:val="22"/>
          <w:u w:val="single"/>
        </w:rPr>
        <w:t xml:space="preserve"> </w:t>
      </w:r>
      <w:proofErr w:type="spellStart"/>
      <w:r>
        <w:rPr>
          <w:rFonts w:ascii="Arial" w:hAnsi="Arial" w:cs="Arial"/>
          <w:sz w:val="22"/>
          <w:szCs w:val="22"/>
          <w:u w:val="single"/>
        </w:rPr>
        <w:t>Orbal</w:t>
      </w:r>
      <w:proofErr w:type="spellEnd"/>
      <w:r>
        <w:rPr>
          <w:rFonts w:ascii="Arial" w:hAnsi="Arial" w:cs="Arial"/>
          <w:sz w:val="22"/>
          <w:szCs w:val="22"/>
          <w:u w:val="single"/>
        </w:rPr>
        <w:t xml:space="preserve">® Aeration System, with disc aerators and propeller mixers: </w:t>
      </w:r>
      <w:r>
        <w:rPr>
          <w:rFonts w:ascii="Arial" w:hAnsi="Arial" w:cs="Arial"/>
          <w:i/>
          <w:iCs/>
          <w:sz w:val="22"/>
          <w:szCs w:val="22"/>
        </w:rPr>
        <w:t xml:space="preserve">Much of the biological treatment plant occurs in these basins. The units consist of a horizontal disc aeration system with drive motors, propeller mixers, nitrate recycle pumps, valves, and piping. At wastewater treatment facilities, aeration is used to introduce air into the wastewater to create an environment that promotes the growth of microorganisms to decompose the organic waste. The oxygen feeds or nourishes microorganisms within the basin, so the bacteria thrive and consume suspended particulates. This process is referred to as </w:t>
      </w:r>
      <w:r>
        <w:rPr>
          <w:rFonts w:ascii="Arial" w:hAnsi="Arial" w:cs="Arial"/>
          <w:b/>
          <w:bCs/>
          <w:i/>
          <w:iCs/>
          <w:sz w:val="22"/>
          <w:szCs w:val="22"/>
        </w:rPr>
        <w:t>Nitrification.</w:t>
      </w:r>
      <w:r>
        <w:rPr>
          <w:rFonts w:ascii="Arial" w:hAnsi="Arial" w:cs="Arial"/>
          <w:i/>
          <w:iCs/>
          <w:sz w:val="22"/>
          <w:szCs w:val="22"/>
        </w:rPr>
        <w:t xml:space="preserve"> </w:t>
      </w:r>
    </w:p>
    <w:p w14:paraId="4B4E0C8F" w14:textId="77777777" w:rsidR="007A19AF" w:rsidRDefault="007A19AF">
      <w:pPr>
        <w:pStyle w:val="ListParagraph"/>
        <w:rPr>
          <w:rFonts w:ascii="Arial" w:hAnsi="Arial" w:cs="Arial"/>
          <w:sz w:val="22"/>
          <w:szCs w:val="22"/>
        </w:rPr>
      </w:pPr>
    </w:p>
    <w:p w14:paraId="0C44B121" w14:textId="77777777" w:rsidR="007A19AF" w:rsidRDefault="00EA729F">
      <w:pPr>
        <w:pStyle w:val="ListParagraph"/>
        <w:jc w:val="both"/>
        <w:rPr>
          <w:rFonts w:ascii="Arial" w:hAnsi="Arial" w:cs="Arial"/>
          <w:i/>
          <w:iCs/>
          <w:sz w:val="22"/>
          <w:szCs w:val="22"/>
        </w:rPr>
      </w:pPr>
      <w:r>
        <w:rPr>
          <w:rFonts w:ascii="Arial" w:hAnsi="Arial" w:cs="Arial"/>
          <w:b/>
          <w:bCs/>
          <w:i/>
          <w:iCs/>
          <w:sz w:val="22"/>
          <w:szCs w:val="22"/>
        </w:rPr>
        <w:t>De-nitrification</w:t>
      </w:r>
      <w:r>
        <w:rPr>
          <w:rFonts w:ascii="Arial" w:hAnsi="Arial" w:cs="Arial"/>
          <w:i/>
          <w:iCs/>
          <w:sz w:val="22"/>
          <w:szCs w:val="22"/>
        </w:rPr>
        <w:t xml:space="preserve"> occurs under anaerobic conditions (in the absence of oxygen) and involves the biological reduction of nitrate to nitric oxide, nitrous oxide, and nitrogen gas, which is released to the atmosphere. De-nitrification can be accomplished by heterotrophic bacteria in the absence of dissolved oxygen. These bacteria use the oxygen in the nitrate instead of dissolved oxygen to digest organic material, thereby releasing nitrogen gas as a waste by-product. For treatment facilities to achieve optimum biological nitrogen removal, it is important to process wastewater through a series of aerobic and anaerobic stages, to ensure complete nitrification and de-nitrification is achieved. Careful monitoring and control of the amount of Dissolved Oxygen (DO) in both the aeration and anaerobic zones and the rate of nitrate recycle is essential to ensure that the Biological Nutrient Removal (BNR) is achieved. The process in Kenly is referred to as a three-stage system to remove Total Nitrogen (TN). Phosphorus (P) is removed from the wastewater stream employing a coagulant such as Ferric Chloride, which binds to the solids, which is then referred to as floc. The heavier floc containing Phosphorus settles to the bottom, where it will eventually make its way to the digester for disposal.  </w:t>
      </w:r>
    </w:p>
    <w:p w14:paraId="424BF709" w14:textId="77777777" w:rsidR="007A19AF" w:rsidRDefault="007A19AF">
      <w:pPr>
        <w:jc w:val="both"/>
        <w:rPr>
          <w:rFonts w:ascii="Arial" w:hAnsi="Arial" w:cs="Arial"/>
          <w:sz w:val="22"/>
          <w:szCs w:val="22"/>
        </w:rPr>
      </w:pPr>
    </w:p>
    <w:p w14:paraId="7750E903" w14:textId="77777777" w:rsidR="007A19AF" w:rsidRDefault="00EA729F">
      <w:pPr>
        <w:pStyle w:val="ListParagraph"/>
        <w:numPr>
          <w:ilvl w:val="0"/>
          <w:numId w:val="1"/>
        </w:numPr>
        <w:jc w:val="both"/>
        <w:rPr>
          <w:rFonts w:ascii="Arial" w:hAnsi="Arial" w:cs="Arial"/>
          <w:sz w:val="22"/>
          <w:szCs w:val="22"/>
        </w:rPr>
      </w:pPr>
      <w:r>
        <w:rPr>
          <w:rFonts w:ascii="Arial" w:hAnsi="Arial" w:cs="Arial"/>
          <w:sz w:val="22"/>
          <w:szCs w:val="22"/>
          <w:u w:val="single"/>
        </w:rPr>
        <w:t>Flow Distribution Box</w:t>
      </w:r>
      <w:r>
        <w:rPr>
          <w:rFonts w:ascii="Arial" w:hAnsi="Arial" w:cs="Arial"/>
          <w:sz w:val="22"/>
          <w:szCs w:val="22"/>
        </w:rPr>
        <w:t xml:space="preserve">: </w:t>
      </w:r>
      <w:r>
        <w:rPr>
          <w:rFonts w:ascii="Arial" w:hAnsi="Arial" w:cs="Arial"/>
          <w:i/>
          <w:iCs/>
          <w:sz w:val="22"/>
          <w:szCs w:val="22"/>
        </w:rPr>
        <w:t xml:space="preserve">The structure utilizes concrete baffles and adjustable weirs to evenly distribute flow from the Aeration Basin to the three circular clarifiers. </w:t>
      </w:r>
    </w:p>
    <w:p w14:paraId="760802A3" w14:textId="77777777" w:rsidR="007A19AF" w:rsidRDefault="007A19AF">
      <w:pPr>
        <w:pStyle w:val="ListParagraph"/>
        <w:jc w:val="both"/>
        <w:rPr>
          <w:rFonts w:ascii="Arial" w:hAnsi="Arial" w:cs="Arial"/>
          <w:sz w:val="22"/>
          <w:szCs w:val="22"/>
        </w:rPr>
      </w:pPr>
    </w:p>
    <w:p w14:paraId="2C5A0C72" w14:textId="77777777" w:rsidR="007A19AF" w:rsidRDefault="00EA729F">
      <w:pPr>
        <w:pStyle w:val="ListParagraph"/>
        <w:numPr>
          <w:ilvl w:val="0"/>
          <w:numId w:val="1"/>
        </w:numPr>
        <w:jc w:val="both"/>
        <w:rPr>
          <w:rFonts w:ascii="Arial" w:hAnsi="Arial" w:cs="Arial"/>
          <w:sz w:val="22"/>
          <w:szCs w:val="22"/>
          <w:u w:val="single"/>
        </w:rPr>
      </w:pPr>
      <w:r>
        <w:rPr>
          <w:rFonts w:ascii="Arial" w:hAnsi="Arial" w:cs="Arial"/>
          <w:sz w:val="22"/>
          <w:szCs w:val="22"/>
          <w:u w:val="single"/>
        </w:rPr>
        <w:t>Clarifiers:</w:t>
      </w:r>
      <w:r>
        <w:rPr>
          <w:rFonts w:ascii="Arial" w:hAnsi="Arial" w:cs="Arial"/>
          <w:sz w:val="22"/>
          <w:szCs w:val="22"/>
        </w:rPr>
        <w:t xml:space="preserve"> </w:t>
      </w:r>
      <w:r>
        <w:rPr>
          <w:rFonts w:ascii="Arial" w:hAnsi="Arial" w:cs="Arial"/>
          <w:i/>
          <w:iCs/>
          <w:sz w:val="22"/>
          <w:szCs w:val="22"/>
        </w:rPr>
        <w:t>The Kenly treatment facility consists of three circular clarifiers.</w:t>
      </w:r>
      <w:r>
        <w:rPr>
          <w:rFonts w:ascii="Arial" w:hAnsi="Arial" w:cs="Arial"/>
          <w:sz w:val="22"/>
          <w:szCs w:val="22"/>
        </w:rPr>
        <w:t xml:space="preserve"> </w:t>
      </w:r>
      <w:r>
        <w:rPr>
          <w:rFonts w:ascii="Arial" w:hAnsi="Arial" w:cs="Arial"/>
          <w:i/>
          <w:iCs/>
          <w:sz w:val="22"/>
          <w:szCs w:val="22"/>
        </w:rPr>
        <w:t xml:space="preserve">These units accept wastewater from the aeration basins, where the heavy solids collect at the bottom of the unit, which allows the clean water (clarifier effluent) to exit this basin over a weir and effluent trough </w:t>
      </w:r>
      <w:r>
        <w:rPr>
          <w:rFonts w:ascii="Arial" w:hAnsi="Arial" w:cs="Arial"/>
          <w:i/>
          <w:iCs/>
          <w:sz w:val="22"/>
          <w:szCs w:val="22"/>
        </w:rPr>
        <w:lastRenderedPageBreak/>
        <w:t>where it is collected and conveys the wastewater to the filters. The sludge which collects on the bottom of the clarifier or referred to as Return Activated Sludge (RAS). The RAS is recycled to the aeration basins where it mixes with the influent wastewater. The activated sludge process uses microorganisms to feed on organic contaminants in wastewater, producing a high-quality effluent. The basic principle behind all activated sludge processes is that as microorganisms grow, they form particles that clump together.</w:t>
      </w:r>
    </w:p>
    <w:p w14:paraId="159C342E" w14:textId="77777777" w:rsidR="007A19AF" w:rsidRDefault="007A19AF">
      <w:pPr>
        <w:pStyle w:val="ListParagraph"/>
        <w:jc w:val="both"/>
        <w:rPr>
          <w:rFonts w:ascii="Arial" w:hAnsi="Arial" w:cs="Arial"/>
          <w:sz w:val="22"/>
          <w:szCs w:val="22"/>
          <w:u w:val="single"/>
        </w:rPr>
      </w:pPr>
    </w:p>
    <w:p w14:paraId="248A761F" w14:textId="77777777" w:rsidR="007A19AF" w:rsidRDefault="00EA729F">
      <w:pPr>
        <w:pStyle w:val="ListParagraph"/>
        <w:numPr>
          <w:ilvl w:val="0"/>
          <w:numId w:val="1"/>
        </w:numPr>
        <w:jc w:val="both"/>
        <w:rPr>
          <w:rFonts w:ascii="Arial" w:hAnsi="Arial" w:cs="Arial"/>
          <w:sz w:val="22"/>
          <w:szCs w:val="22"/>
          <w:u w:val="single"/>
        </w:rPr>
      </w:pPr>
      <w:r>
        <w:rPr>
          <w:rFonts w:ascii="Arial" w:hAnsi="Arial" w:cs="Arial"/>
          <w:sz w:val="22"/>
          <w:szCs w:val="22"/>
          <w:u w:val="single"/>
        </w:rPr>
        <w:t xml:space="preserve">Return Activated Sludge/Waste Activated Sludge (RAS/WAS) Pump Station. </w:t>
      </w:r>
      <w:r>
        <w:rPr>
          <w:rFonts w:ascii="Arial" w:hAnsi="Arial" w:cs="Arial"/>
          <w:i/>
          <w:iCs/>
          <w:sz w:val="22"/>
          <w:szCs w:val="22"/>
        </w:rPr>
        <w:t xml:space="preserve">The pump station is utilized to pump the return activated sludge to the aeration basins for the growth of the microorganisms from the clarifiers, as stated above. Once the sludge reaches a point where the microorganisms are no longer useful to support the biological treatment in the aeration basin, the sludge is wasted to a digester for later disposal. </w:t>
      </w:r>
    </w:p>
    <w:p w14:paraId="6EE23995" w14:textId="77777777" w:rsidR="007A19AF" w:rsidRDefault="007A19AF">
      <w:pPr>
        <w:pStyle w:val="ListParagraph"/>
        <w:rPr>
          <w:rFonts w:ascii="Arial" w:hAnsi="Arial" w:cs="Arial"/>
          <w:sz w:val="22"/>
          <w:szCs w:val="22"/>
          <w:u w:val="single"/>
        </w:rPr>
      </w:pPr>
    </w:p>
    <w:p w14:paraId="77C7FD6A" w14:textId="77777777" w:rsidR="007A19AF" w:rsidRDefault="00EA729F">
      <w:pPr>
        <w:pStyle w:val="ListParagraph"/>
        <w:numPr>
          <w:ilvl w:val="0"/>
          <w:numId w:val="1"/>
        </w:numPr>
        <w:jc w:val="both"/>
        <w:rPr>
          <w:rFonts w:ascii="Arial" w:hAnsi="Arial" w:cs="Arial"/>
          <w:sz w:val="22"/>
          <w:szCs w:val="22"/>
          <w:u w:val="single"/>
        </w:rPr>
      </w:pPr>
      <w:r>
        <w:rPr>
          <w:rFonts w:ascii="Arial" w:hAnsi="Arial" w:cs="Arial"/>
          <w:sz w:val="22"/>
          <w:szCs w:val="22"/>
          <w:u w:val="single"/>
        </w:rPr>
        <w:t>Traveling Bridge Tertiary Filters</w:t>
      </w:r>
      <w:r>
        <w:rPr>
          <w:rFonts w:ascii="Arial" w:hAnsi="Arial" w:cs="Arial"/>
          <w:sz w:val="22"/>
          <w:szCs w:val="22"/>
        </w:rPr>
        <w:t xml:space="preserve">: </w:t>
      </w:r>
      <w:r>
        <w:rPr>
          <w:rFonts w:ascii="Arial" w:hAnsi="Arial" w:cs="Arial"/>
          <w:i/>
          <w:iCs/>
          <w:sz w:val="22"/>
          <w:szCs w:val="22"/>
        </w:rPr>
        <w:t xml:space="preserve">Effluent from the clarifiers flows by gravity to the effluent filters. The wastewater covers the top of the sand media, which allows the filtration of solids, which are generally sent back through the treatment facility for further treatment. Periodically the filter media needs to be cleaned of the solids, which can accumulate over time. The traveling bridge filter accomplishes this goal, by backwashing two cells at a time and conveying the backwash waste to the digest for disposal. The system in Kenly allows the other filter cells to remain in service during the individual cell backwash. </w:t>
      </w:r>
    </w:p>
    <w:p w14:paraId="4E51C81D" w14:textId="77777777" w:rsidR="007A19AF" w:rsidRDefault="007A19AF">
      <w:pPr>
        <w:pStyle w:val="ListParagraph"/>
        <w:rPr>
          <w:rFonts w:ascii="Arial" w:hAnsi="Arial" w:cs="Arial"/>
          <w:sz w:val="22"/>
          <w:szCs w:val="22"/>
          <w:u w:val="single"/>
        </w:rPr>
      </w:pPr>
    </w:p>
    <w:p w14:paraId="3276DD13" w14:textId="77777777" w:rsidR="007A19AF" w:rsidRDefault="00EA729F">
      <w:pPr>
        <w:pStyle w:val="ListParagraph"/>
        <w:numPr>
          <w:ilvl w:val="0"/>
          <w:numId w:val="1"/>
        </w:numPr>
        <w:jc w:val="both"/>
        <w:rPr>
          <w:rFonts w:ascii="Arial" w:hAnsi="Arial" w:cs="Arial"/>
          <w:i/>
          <w:iCs/>
          <w:sz w:val="22"/>
          <w:szCs w:val="22"/>
          <w:u w:val="single"/>
        </w:rPr>
      </w:pPr>
      <w:r>
        <w:rPr>
          <w:rFonts w:ascii="Arial" w:hAnsi="Arial" w:cs="Arial"/>
          <w:sz w:val="22"/>
          <w:szCs w:val="22"/>
          <w:u w:val="single"/>
        </w:rPr>
        <w:t xml:space="preserve">Ultra-violet (UV) Disinfection: </w:t>
      </w:r>
      <w:r>
        <w:rPr>
          <w:rFonts w:ascii="Arial" w:hAnsi="Arial" w:cs="Arial"/>
          <w:i/>
          <w:iCs/>
          <w:sz w:val="22"/>
          <w:szCs w:val="22"/>
        </w:rPr>
        <w:t>The Kenly treatment facility utilizes UV to kill pathogens and other harmful organisms from the effluent wastewater. The effluent wastewater flows through a series of UV lights where ultraviolet light kills microorganisms by damaging the DNA. UV radiation disrupts the chemical bonds that hold the atoms of DNA together in the microorganism. If the damage is severe enough, the bacteria cannot repair the damage to reproduce and will die.</w:t>
      </w:r>
    </w:p>
    <w:p w14:paraId="150BE1E5" w14:textId="77777777" w:rsidR="007A19AF" w:rsidRDefault="007A19AF">
      <w:pPr>
        <w:pStyle w:val="ListParagraph"/>
        <w:rPr>
          <w:rFonts w:ascii="Arial" w:hAnsi="Arial" w:cs="Arial"/>
          <w:sz w:val="22"/>
          <w:szCs w:val="22"/>
          <w:u w:val="single"/>
        </w:rPr>
      </w:pPr>
    </w:p>
    <w:p w14:paraId="03E5C651" w14:textId="77777777" w:rsidR="007A19AF" w:rsidRDefault="00EA729F">
      <w:pPr>
        <w:pStyle w:val="ListParagraph"/>
        <w:numPr>
          <w:ilvl w:val="0"/>
          <w:numId w:val="1"/>
        </w:numPr>
        <w:jc w:val="both"/>
        <w:rPr>
          <w:rFonts w:ascii="Arial" w:hAnsi="Arial" w:cs="Arial"/>
          <w:sz w:val="22"/>
          <w:szCs w:val="22"/>
          <w:u w:val="single"/>
        </w:rPr>
      </w:pPr>
      <w:r>
        <w:rPr>
          <w:rFonts w:ascii="Arial" w:hAnsi="Arial" w:cs="Arial"/>
          <w:sz w:val="22"/>
          <w:szCs w:val="22"/>
          <w:u w:val="single"/>
        </w:rPr>
        <w:t>Post Aeration:</w:t>
      </w:r>
      <w:r>
        <w:rPr>
          <w:rFonts w:ascii="Arial" w:hAnsi="Arial" w:cs="Arial"/>
          <w:sz w:val="22"/>
          <w:szCs w:val="22"/>
        </w:rPr>
        <w:t xml:space="preserve"> </w:t>
      </w:r>
      <w:r>
        <w:rPr>
          <w:rFonts w:ascii="Arial" w:hAnsi="Arial" w:cs="Arial"/>
          <w:i/>
          <w:iCs/>
          <w:sz w:val="22"/>
          <w:szCs w:val="22"/>
        </w:rPr>
        <w:t>To provide additional dissolved oxygen to the effluent wastewater before its discharge to the Little River, near the U.S. Hwy. 301 bride. A manhole installed on the effluent outfall has a series of staggard plates, which will cause the water to splash as it travels downward. This splashing imparts oxygen into the effluent waste.</w:t>
      </w:r>
      <w:r>
        <w:rPr>
          <w:rFonts w:ascii="Arial" w:hAnsi="Arial" w:cs="Arial"/>
          <w:sz w:val="22"/>
          <w:szCs w:val="22"/>
        </w:rPr>
        <w:t xml:space="preserve"> </w:t>
      </w:r>
    </w:p>
    <w:p w14:paraId="20F5C6C7" w14:textId="77777777" w:rsidR="007A19AF" w:rsidRDefault="007A19AF">
      <w:pPr>
        <w:pStyle w:val="ListParagraph"/>
        <w:rPr>
          <w:rFonts w:ascii="Arial" w:hAnsi="Arial" w:cs="Arial"/>
          <w:sz w:val="22"/>
          <w:szCs w:val="22"/>
          <w:u w:val="single"/>
        </w:rPr>
      </w:pPr>
    </w:p>
    <w:p w14:paraId="0FD7805C" w14:textId="77777777" w:rsidR="007A19AF" w:rsidRDefault="00EA729F">
      <w:pPr>
        <w:pStyle w:val="ListParagraph"/>
        <w:numPr>
          <w:ilvl w:val="0"/>
          <w:numId w:val="1"/>
        </w:numPr>
        <w:jc w:val="both"/>
        <w:rPr>
          <w:rFonts w:ascii="Arial" w:hAnsi="Arial" w:cs="Arial"/>
          <w:sz w:val="22"/>
          <w:szCs w:val="22"/>
          <w:u w:val="single"/>
        </w:rPr>
      </w:pPr>
      <w:r>
        <w:rPr>
          <w:rFonts w:ascii="Arial" w:hAnsi="Arial" w:cs="Arial"/>
          <w:sz w:val="22"/>
          <w:szCs w:val="22"/>
          <w:u w:val="single"/>
        </w:rPr>
        <w:t>Biosolids Disposal:</w:t>
      </w:r>
      <w:r>
        <w:rPr>
          <w:rFonts w:ascii="Arial" w:hAnsi="Arial" w:cs="Arial"/>
          <w:sz w:val="22"/>
          <w:szCs w:val="22"/>
        </w:rPr>
        <w:t xml:space="preserve"> </w:t>
      </w:r>
      <w:r>
        <w:rPr>
          <w:rFonts w:ascii="Arial" w:hAnsi="Arial" w:cs="Arial"/>
          <w:i/>
          <w:iCs/>
          <w:sz w:val="22"/>
          <w:szCs w:val="22"/>
        </w:rPr>
        <w:t>The biosolids (sludge) which are removed from the wastewater during the process, and conveyed to the aerobic digester. The sludge is slightly thickened in the digester by utilizing a combination of cutting a floating aerator on and off, and withdrawing the clear liquid at the top while the aerator is off. The sludge/biosolids are pumped into a tanker truck periodically and hauled to a permitted site to be land applied.</w:t>
      </w:r>
      <w:r>
        <w:rPr>
          <w:rFonts w:ascii="Arial" w:hAnsi="Arial" w:cs="Arial"/>
          <w:sz w:val="22"/>
          <w:szCs w:val="22"/>
        </w:rPr>
        <w:t xml:space="preserve"> </w:t>
      </w:r>
    </w:p>
    <w:p w14:paraId="59640883" w14:textId="77777777" w:rsidR="007A19AF" w:rsidRDefault="007A19AF">
      <w:pPr>
        <w:pStyle w:val="ListParagraph"/>
        <w:rPr>
          <w:rFonts w:ascii="Arial" w:hAnsi="Arial" w:cs="Arial"/>
          <w:sz w:val="22"/>
          <w:szCs w:val="22"/>
          <w:u w:val="single"/>
        </w:rPr>
      </w:pPr>
    </w:p>
    <w:p w14:paraId="6DA7612E" w14:textId="77777777" w:rsidR="007A19AF" w:rsidRDefault="00EA729F">
      <w:pPr>
        <w:jc w:val="both"/>
        <w:rPr>
          <w:rFonts w:ascii="Arial" w:hAnsi="Arial" w:cs="Arial"/>
          <w:sz w:val="22"/>
          <w:szCs w:val="22"/>
        </w:rPr>
      </w:pPr>
      <w:r>
        <w:rPr>
          <w:rFonts w:ascii="Arial" w:hAnsi="Arial" w:cs="Arial"/>
          <w:sz w:val="22"/>
          <w:szCs w:val="22"/>
        </w:rPr>
        <w:t xml:space="preserve">The Town of Kenly, through its NPDES permit measures and reports daily effluent characteristics to NCDEQ each month via a DMR. The NCDEQ monitors and regulates the performance of treatment facilities, which hold an NPDES permit on behalf of the EPA. Effluent limits for the various characteristics are set by NCDEQ based upon the existing water quality of the receiving stream, pollutant monitoring, technology available, and other parameters based upon the characteristic being measured and reported. </w:t>
      </w:r>
    </w:p>
    <w:p w14:paraId="49480883" w14:textId="77777777" w:rsidR="007A19AF" w:rsidRDefault="007A19AF">
      <w:pPr>
        <w:jc w:val="both"/>
        <w:rPr>
          <w:rFonts w:ascii="Arial" w:hAnsi="Arial" w:cs="Arial"/>
          <w:sz w:val="22"/>
          <w:szCs w:val="22"/>
        </w:rPr>
      </w:pPr>
    </w:p>
    <w:p w14:paraId="6B7B6B85" w14:textId="77777777" w:rsidR="007A19AF" w:rsidRDefault="00EA729F">
      <w:pPr>
        <w:jc w:val="both"/>
        <w:rPr>
          <w:rFonts w:ascii="Arial" w:hAnsi="Arial" w:cs="Arial"/>
          <w:sz w:val="22"/>
          <w:szCs w:val="22"/>
        </w:rPr>
      </w:pPr>
      <w:r>
        <w:rPr>
          <w:rFonts w:ascii="Arial" w:hAnsi="Arial" w:cs="Arial"/>
          <w:sz w:val="22"/>
          <w:szCs w:val="22"/>
        </w:rPr>
        <w:t xml:space="preserve">The Town of Kenly is also one of 27 member facilities of the Lower Neuse Basin Association/Neuse River Compliance Association (LNBA/NRCA). Each member holds an NPDES permit and discharges into the Neuse River Basin. However, the NRCA holds, and NPDES permit for Total Nitrogen (TN) to control the amount of TN reaching the Neuse River Estuary at the mouth of the Neuse River. The NRCA self regulates its members for compliance with respect to TN provide the group as a whole does not exceed the Total Mass Daily Load (TMDL) in pounds to the estuary. The membership of this group generally includes dischargers such as Durham, Hillsborough, and South Granville Water &amp; Sewer Authority north of Falls Lake to the City of New Bern and Cherry Point Marine Corps Air Station near Havelock which is closest to the estuary. Each facility is allocated pounds of nitrogen-based upon a mass-based limit in pounds per year. The Town of Kenly is allocated 7,096 pounds per year, as </w:t>
      </w:r>
      <w:r>
        <w:rPr>
          <w:rFonts w:ascii="Arial" w:hAnsi="Arial" w:cs="Arial"/>
          <w:sz w:val="22"/>
          <w:szCs w:val="22"/>
        </w:rPr>
        <w:lastRenderedPageBreak/>
        <w:t xml:space="preserve">expressed in NPDES permit No. NCC000001. The following table is a list of the Town’s effluent characteristics, effluent Limitations, average and maximum concentrations, flow, or other measured parameters as appropriate. </w:t>
      </w:r>
    </w:p>
    <w:p w14:paraId="78D8B6AA" w14:textId="77777777" w:rsidR="007A19AF" w:rsidRDefault="007A19AF">
      <w:pPr>
        <w:jc w:val="both"/>
        <w:rPr>
          <w:rFonts w:ascii="Arial" w:hAnsi="Arial" w:cs="Arial"/>
          <w:sz w:val="22"/>
          <w:szCs w:val="22"/>
        </w:rPr>
      </w:pPr>
    </w:p>
    <w:tbl>
      <w:tblPr>
        <w:tblStyle w:val="TableGrid"/>
        <w:tblW w:w="9356" w:type="dxa"/>
        <w:tblInd w:w="265" w:type="dxa"/>
        <w:tblLayout w:type="fixed"/>
        <w:tblLook w:val="04A0" w:firstRow="1" w:lastRow="0" w:firstColumn="1" w:lastColumn="0" w:noHBand="0" w:noVBand="1"/>
      </w:tblPr>
      <w:tblGrid>
        <w:gridCol w:w="2654"/>
        <w:gridCol w:w="1272"/>
        <w:gridCol w:w="1274"/>
        <w:gridCol w:w="2021"/>
        <w:gridCol w:w="2135"/>
      </w:tblGrid>
      <w:tr w:rsidR="007A19AF" w14:paraId="7E630E07" w14:textId="77777777">
        <w:tc>
          <w:tcPr>
            <w:tcW w:w="2654" w:type="dxa"/>
            <w:vAlign w:val="center"/>
          </w:tcPr>
          <w:p w14:paraId="2CE48096" w14:textId="77777777" w:rsidR="007A19AF" w:rsidRDefault="007A19AF">
            <w:pPr>
              <w:jc w:val="center"/>
              <w:rPr>
                <w:rFonts w:ascii="Arial" w:hAnsi="Arial" w:cs="Arial"/>
                <w:sz w:val="20"/>
                <w:szCs w:val="20"/>
              </w:rPr>
            </w:pPr>
          </w:p>
        </w:tc>
        <w:tc>
          <w:tcPr>
            <w:tcW w:w="2546" w:type="dxa"/>
            <w:gridSpan w:val="2"/>
            <w:vAlign w:val="center"/>
          </w:tcPr>
          <w:p w14:paraId="5525B276" w14:textId="77777777" w:rsidR="007A19AF" w:rsidRDefault="00EA729F">
            <w:pPr>
              <w:jc w:val="center"/>
              <w:rPr>
                <w:rFonts w:ascii="Arial" w:hAnsi="Arial" w:cs="Arial"/>
                <w:b/>
                <w:bCs/>
                <w:sz w:val="20"/>
                <w:szCs w:val="20"/>
              </w:rPr>
            </w:pPr>
            <w:r>
              <w:rPr>
                <w:rFonts w:ascii="Arial" w:hAnsi="Arial" w:cs="Arial"/>
                <w:b/>
                <w:bCs/>
                <w:sz w:val="20"/>
                <w:szCs w:val="20"/>
              </w:rPr>
              <w:t>Effluent Concentrations</w:t>
            </w:r>
          </w:p>
        </w:tc>
        <w:tc>
          <w:tcPr>
            <w:tcW w:w="4156" w:type="dxa"/>
            <w:gridSpan w:val="2"/>
            <w:vAlign w:val="center"/>
          </w:tcPr>
          <w:p w14:paraId="223C4D02" w14:textId="77777777" w:rsidR="007A19AF" w:rsidRDefault="00EA729F">
            <w:pPr>
              <w:jc w:val="center"/>
              <w:rPr>
                <w:rFonts w:ascii="Arial" w:hAnsi="Arial" w:cs="Arial"/>
                <w:b/>
                <w:bCs/>
                <w:sz w:val="20"/>
                <w:szCs w:val="20"/>
              </w:rPr>
            </w:pPr>
            <w:r>
              <w:rPr>
                <w:rFonts w:ascii="Arial" w:hAnsi="Arial" w:cs="Arial"/>
                <w:b/>
                <w:bCs/>
                <w:sz w:val="20"/>
                <w:szCs w:val="20"/>
              </w:rPr>
              <w:t>Measured Concentrations</w:t>
            </w:r>
          </w:p>
        </w:tc>
      </w:tr>
      <w:tr w:rsidR="007A19AF" w14:paraId="495AAEF9" w14:textId="77777777">
        <w:tc>
          <w:tcPr>
            <w:tcW w:w="2654" w:type="dxa"/>
            <w:vAlign w:val="center"/>
          </w:tcPr>
          <w:p w14:paraId="391E2D9C" w14:textId="77777777" w:rsidR="007A19AF" w:rsidRDefault="00EA729F">
            <w:pPr>
              <w:jc w:val="center"/>
              <w:rPr>
                <w:rFonts w:ascii="Arial" w:hAnsi="Arial" w:cs="Arial"/>
                <w:b/>
                <w:bCs/>
                <w:sz w:val="20"/>
                <w:szCs w:val="20"/>
              </w:rPr>
            </w:pPr>
            <w:r>
              <w:rPr>
                <w:rFonts w:ascii="Arial" w:hAnsi="Arial" w:cs="Arial"/>
                <w:b/>
                <w:bCs/>
                <w:sz w:val="20"/>
                <w:szCs w:val="20"/>
              </w:rPr>
              <w:t>Effluent Characteristics</w:t>
            </w:r>
          </w:p>
        </w:tc>
        <w:tc>
          <w:tcPr>
            <w:tcW w:w="1272" w:type="dxa"/>
            <w:vAlign w:val="center"/>
          </w:tcPr>
          <w:p w14:paraId="55C8984E" w14:textId="77777777" w:rsidR="007A19AF" w:rsidRDefault="00EA729F">
            <w:pPr>
              <w:jc w:val="center"/>
              <w:rPr>
                <w:rFonts w:ascii="Arial" w:hAnsi="Arial" w:cs="Arial"/>
                <w:b/>
                <w:bCs/>
                <w:sz w:val="20"/>
                <w:szCs w:val="20"/>
              </w:rPr>
            </w:pPr>
            <w:r>
              <w:rPr>
                <w:rFonts w:ascii="Arial" w:hAnsi="Arial" w:cs="Arial"/>
                <w:b/>
                <w:bCs/>
                <w:sz w:val="20"/>
                <w:szCs w:val="20"/>
              </w:rPr>
              <w:t>Monthly Average</w:t>
            </w:r>
          </w:p>
          <w:p w14:paraId="0B87D1FD" w14:textId="77777777" w:rsidR="007A19AF" w:rsidRDefault="00EA729F">
            <w:pPr>
              <w:jc w:val="center"/>
              <w:rPr>
                <w:rFonts w:ascii="Arial" w:hAnsi="Arial" w:cs="Arial"/>
                <w:b/>
                <w:bCs/>
                <w:sz w:val="20"/>
                <w:szCs w:val="20"/>
              </w:rPr>
            </w:pPr>
            <w:r>
              <w:rPr>
                <w:rFonts w:ascii="Arial" w:hAnsi="Arial" w:cs="Arial"/>
                <w:b/>
                <w:bCs/>
                <w:sz w:val="20"/>
                <w:szCs w:val="20"/>
              </w:rPr>
              <w:t>Limits</w:t>
            </w:r>
          </w:p>
        </w:tc>
        <w:tc>
          <w:tcPr>
            <w:tcW w:w="1274" w:type="dxa"/>
            <w:vAlign w:val="center"/>
          </w:tcPr>
          <w:p w14:paraId="748F8EBB" w14:textId="77777777" w:rsidR="007A19AF" w:rsidRDefault="00EA729F">
            <w:pPr>
              <w:jc w:val="center"/>
              <w:rPr>
                <w:rFonts w:ascii="Arial" w:hAnsi="Arial" w:cs="Arial"/>
                <w:b/>
                <w:bCs/>
                <w:sz w:val="20"/>
                <w:szCs w:val="20"/>
              </w:rPr>
            </w:pPr>
            <w:r>
              <w:rPr>
                <w:rFonts w:ascii="Arial" w:hAnsi="Arial" w:cs="Arial"/>
                <w:b/>
                <w:bCs/>
                <w:sz w:val="20"/>
                <w:szCs w:val="20"/>
              </w:rPr>
              <w:t>Weekly</w:t>
            </w:r>
          </w:p>
          <w:p w14:paraId="42638223" w14:textId="77777777" w:rsidR="007A19AF" w:rsidRDefault="00EA729F">
            <w:pPr>
              <w:jc w:val="center"/>
              <w:rPr>
                <w:rFonts w:ascii="Arial" w:hAnsi="Arial" w:cs="Arial"/>
                <w:b/>
                <w:bCs/>
                <w:sz w:val="20"/>
                <w:szCs w:val="20"/>
              </w:rPr>
            </w:pPr>
            <w:r>
              <w:rPr>
                <w:rFonts w:ascii="Arial" w:hAnsi="Arial" w:cs="Arial"/>
                <w:b/>
                <w:bCs/>
                <w:sz w:val="20"/>
                <w:szCs w:val="20"/>
              </w:rPr>
              <w:t>Average</w:t>
            </w:r>
          </w:p>
          <w:p w14:paraId="7E844942" w14:textId="77777777" w:rsidR="007A19AF" w:rsidRDefault="00EA729F">
            <w:pPr>
              <w:jc w:val="center"/>
              <w:rPr>
                <w:rFonts w:ascii="Arial" w:hAnsi="Arial" w:cs="Arial"/>
                <w:b/>
                <w:bCs/>
                <w:sz w:val="20"/>
                <w:szCs w:val="20"/>
              </w:rPr>
            </w:pPr>
            <w:r>
              <w:rPr>
                <w:rFonts w:ascii="Arial" w:hAnsi="Arial" w:cs="Arial"/>
                <w:b/>
                <w:bCs/>
                <w:sz w:val="20"/>
                <w:szCs w:val="20"/>
              </w:rPr>
              <w:t>Limits</w:t>
            </w:r>
          </w:p>
        </w:tc>
        <w:tc>
          <w:tcPr>
            <w:tcW w:w="2021" w:type="dxa"/>
            <w:vAlign w:val="center"/>
          </w:tcPr>
          <w:p w14:paraId="33FB734C" w14:textId="77777777" w:rsidR="007A19AF" w:rsidRDefault="00EA729F">
            <w:pPr>
              <w:jc w:val="center"/>
              <w:rPr>
                <w:rFonts w:ascii="Arial" w:hAnsi="Arial" w:cs="Arial"/>
                <w:b/>
                <w:bCs/>
                <w:sz w:val="20"/>
                <w:szCs w:val="20"/>
              </w:rPr>
            </w:pPr>
            <w:r>
              <w:rPr>
                <w:rFonts w:ascii="Arial" w:hAnsi="Arial" w:cs="Arial"/>
                <w:b/>
                <w:bCs/>
                <w:sz w:val="20"/>
                <w:szCs w:val="20"/>
              </w:rPr>
              <w:t>Average Concentration 202</w:t>
            </w:r>
            <w:r w:rsidR="009239B2">
              <w:rPr>
                <w:rFonts w:ascii="Arial" w:hAnsi="Arial" w:cs="Arial"/>
                <w:b/>
                <w:bCs/>
                <w:sz w:val="20"/>
                <w:szCs w:val="20"/>
              </w:rPr>
              <w:t>2</w:t>
            </w:r>
          </w:p>
        </w:tc>
        <w:tc>
          <w:tcPr>
            <w:tcW w:w="2135" w:type="dxa"/>
            <w:vAlign w:val="center"/>
          </w:tcPr>
          <w:p w14:paraId="5082EA13" w14:textId="77777777" w:rsidR="007A19AF" w:rsidRDefault="00EA729F">
            <w:pPr>
              <w:jc w:val="center"/>
              <w:rPr>
                <w:rFonts w:ascii="Arial" w:hAnsi="Arial" w:cs="Arial"/>
                <w:b/>
                <w:bCs/>
                <w:sz w:val="20"/>
                <w:szCs w:val="20"/>
              </w:rPr>
            </w:pPr>
            <w:r>
              <w:rPr>
                <w:rFonts w:ascii="Arial" w:hAnsi="Arial" w:cs="Arial"/>
                <w:b/>
                <w:bCs/>
                <w:sz w:val="20"/>
                <w:szCs w:val="20"/>
              </w:rPr>
              <w:t>Maximum Concentration 202</w:t>
            </w:r>
            <w:r w:rsidR="009239B2">
              <w:rPr>
                <w:rFonts w:ascii="Arial" w:hAnsi="Arial" w:cs="Arial"/>
                <w:b/>
                <w:bCs/>
                <w:sz w:val="20"/>
                <w:szCs w:val="20"/>
              </w:rPr>
              <w:t>2</w:t>
            </w:r>
          </w:p>
        </w:tc>
      </w:tr>
      <w:tr w:rsidR="007A19AF" w14:paraId="520142E8" w14:textId="77777777">
        <w:trPr>
          <w:trHeight w:val="242"/>
        </w:trPr>
        <w:tc>
          <w:tcPr>
            <w:tcW w:w="2654" w:type="dxa"/>
          </w:tcPr>
          <w:p w14:paraId="36F758A7" w14:textId="77777777" w:rsidR="007A19AF" w:rsidRDefault="00EA729F">
            <w:pPr>
              <w:jc w:val="both"/>
              <w:rPr>
                <w:rFonts w:ascii="Arial" w:hAnsi="Arial" w:cs="Arial"/>
                <w:sz w:val="20"/>
                <w:szCs w:val="20"/>
              </w:rPr>
            </w:pPr>
            <w:r>
              <w:rPr>
                <w:rFonts w:ascii="Arial" w:hAnsi="Arial" w:cs="Arial"/>
                <w:sz w:val="20"/>
                <w:szCs w:val="20"/>
              </w:rPr>
              <w:t>Flow</w:t>
            </w:r>
          </w:p>
        </w:tc>
        <w:tc>
          <w:tcPr>
            <w:tcW w:w="1272" w:type="dxa"/>
          </w:tcPr>
          <w:p w14:paraId="4A10E279" w14:textId="77777777" w:rsidR="007A19AF" w:rsidRDefault="00EA729F">
            <w:pPr>
              <w:jc w:val="both"/>
              <w:rPr>
                <w:rFonts w:ascii="Arial" w:hAnsi="Arial" w:cs="Arial"/>
                <w:sz w:val="20"/>
                <w:szCs w:val="20"/>
              </w:rPr>
            </w:pPr>
            <w:r>
              <w:rPr>
                <w:rFonts w:ascii="Arial" w:hAnsi="Arial" w:cs="Arial"/>
                <w:sz w:val="20"/>
                <w:szCs w:val="20"/>
              </w:rPr>
              <w:t>0.630 MGD</w:t>
            </w:r>
          </w:p>
        </w:tc>
        <w:tc>
          <w:tcPr>
            <w:tcW w:w="1274" w:type="dxa"/>
          </w:tcPr>
          <w:p w14:paraId="04CD13B4" w14:textId="77777777" w:rsidR="007A19AF" w:rsidRDefault="007A19AF">
            <w:pPr>
              <w:jc w:val="both"/>
              <w:rPr>
                <w:rFonts w:ascii="Arial" w:hAnsi="Arial" w:cs="Arial"/>
                <w:sz w:val="20"/>
                <w:szCs w:val="20"/>
              </w:rPr>
            </w:pPr>
          </w:p>
        </w:tc>
        <w:tc>
          <w:tcPr>
            <w:tcW w:w="2021" w:type="dxa"/>
            <w:vAlign w:val="center"/>
          </w:tcPr>
          <w:p w14:paraId="4A798867" w14:textId="77777777" w:rsidR="007A19AF" w:rsidRDefault="00EA729F">
            <w:pPr>
              <w:jc w:val="center"/>
              <w:rPr>
                <w:rFonts w:ascii="Arial" w:hAnsi="Arial" w:cs="Arial"/>
                <w:sz w:val="20"/>
                <w:szCs w:val="20"/>
              </w:rPr>
            </w:pPr>
            <w:r>
              <w:rPr>
                <w:rFonts w:ascii="Arial" w:hAnsi="Arial" w:cs="Arial"/>
                <w:sz w:val="20"/>
                <w:szCs w:val="20"/>
              </w:rPr>
              <w:t>0.</w:t>
            </w:r>
            <w:r w:rsidR="009A3E97">
              <w:rPr>
                <w:rFonts w:ascii="Arial" w:hAnsi="Arial" w:cs="Arial"/>
                <w:sz w:val="20"/>
                <w:szCs w:val="20"/>
              </w:rPr>
              <w:t>348</w:t>
            </w:r>
            <w:r>
              <w:rPr>
                <w:rFonts w:ascii="Arial" w:hAnsi="Arial" w:cs="Arial"/>
                <w:sz w:val="20"/>
                <w:szCs w:val="20"/>
              </w:rPr>
              <w:t xml:space="preserve"> MGD</w:t>
            </w:r>
          </w:p>
        </w:tc>
        <w:tc>
          <w:tcPr>
            <w:tcW w:w="2135" w:type="dxa"/>
            <w:vAlign w:val="center"/>
          </w:tcPr>
          <w:p w14:paraId="3372B11C" w14:textId="77777777" w:rsidR="007A19AF" w:rsidRDefault="00EA729F">
            <w:pPr>
              <w:jc w:val="center"/>
              <w:rPr>
                <w:rFonts w:ascii="Arial" w:hAnsi="Arial" w:cs="Arial"/>
                <w:sz w:val="20"/>
                <w:szCs w:val="20"/>
              </w:rPr>
            </w:pPr>
            <w:r>
              <w:rPr>
                <w:rFonts w:ascii="Arial" w:hAnsi="Arial" w:cs="Arial"/>
                <w:sz w:val="20"/>
                <w:szCs w:val="20"/>
              </w:rPr>
              <w:t>1.</w:t>
            </w:r>
            <w:r w:rsidR="009A3E97">
              <w:rPr>
                <w:rFonts w:ascii="Arial" w:hAnsi="Arial" w:cs="Arial"/>
                <w:sz w:val="20"/>
                <w:szCs w:val="20"/>
              </w:rPr>
              <w:t>02</w:t>
            </w:r>
            <w:r>
              <w:rPr>
                <w:rFonts w:ascii="Arial" w:hAnsi="Arial" w:cs="Arial"/>
                <w:sz w:val="20"/>
                <w:szCs w:val="20"/>
              </w:rPr>
              <w:t xml:space="preserve"> MGD</w:t>
            </w:r>
          </w:p>
        </w:tc>
      </w:tr>
      <w:tr w:rsidR="007A19AF" w14:paraId="7BF42355" w14:textId="77777777">
        <w:tc>
          <w:tcPr>
            <w:tcW w:w="2654" w:type="dxa"/>
          </w:tcPr>
          <w:p w14:paraId="15709FEA" w14:textId="77777777" w:rsidR="007A19AF" w:rsidRDefault="00EA729F">
            <w:pPr>
              <w:jc w:val="both"/>
              <w:rPr>
                <w:rFonts w:ascii="Arial" w:hAnsi="Arial" w:cs="Arial"/>
                <w:sz w:val="20"/>
                <w:szCs w:val="20"/>
              </w:rPr>
            </w:pPr>
            <w:r>
              <w:rPr>
                <w:rFonts w:ascii="Arial" w:hAnsi="Arial" w:cs="Arial"/>
                <w:sz w:val="20"/>
                <w:szCs w:val="20"/>
              </w:rPr>
              <w:t xml:space="preserve">BOD 5-day </w:t>
            </w:r>
          </w:p>
          <w:p w14:paraId="1CB3A17C" w14:textId="77777777" w:rsidR="007A19AF" w:rsidRDefault="00EA729F">
            <w:pPr>
              <w:jc w:val="both"/>
              <w:rPr>
                <w:rFonts w:ascii="Arial" w:hAnsi="Arial" w:cs="Arial"/>
                <w:sz w:val="20"/>
                <w:szCs w:val="20"/>
              </w:rPr>
            </w:pPr>
            <w:r>
              <w:rPr>
                <w:rFonts w:ascii="Arial" w:hAnsi="Arial" w:cs="Arial"/>
                <w:sz w:val="20"/>
                <w:szCs w:val="20"/>
              </w:rPr>
              <w:t>April 1 – October. 31</w:t>
            </w:r>
          </w:p>
        </w:tc>
        <w:tc>
          <w:tcPr>
            <w:tcW w:w="1272" w:type="dxa"/>
            <w:vAlign w:val="center"/>
          </w:tcPr>
          <w:p w14:paraId="3246E4D8" w14:textId="77777777" w:rsidR="007A19AF" w:rsidRDefault="00EA729F">
            <w:pPr>
              <w:jc w:val="center"/>
              <w:rPr>
                <w:rFonts w:ascii="Arial" w:hAnsi="Arial" w:cs="Arial"/>
                <w:sz w:val="20"/>
                <w:szCs w:val="20"/>
              </w:rPr>
            </w:pPr>
            <w:r>
              <w:rPr>
                <w:rFonts w:ascii="Arial" w:hAnsi="Arial" w:cs="Arial"/>
                <w:sz w:val="20"/>
                <w:szCs w:val="20"/>
              </w:rPr>
              <w:t>5.0 mg/L</w:t>
            </w:r>
          </w:p>
        </w:tc>
        <w:tc>
          <w:tcPr>
            <w:tcW w:w="1274" w:type="dxa"/>
            <w:vAlign w:val="center"/>
          </w:tcPr>
          <w:p w14:paraId="64C6014B" w14:textId="77777777" w:rsidR="007A19AF" w:rsidRDefault="00EA729F">
            <w:pPr>
              <w:jc w:val="center"/>
              <w:rPr>
                <w:rFonts w:ascii="Arial" w:hAnsi="Arial" w:cs="Arial"/>
                <w:sz w:val="20"/>
                <w:szCs w:val="20"/>
              </w:rPr>
            </w:pPr>
            <w:r>
              <w:rPr>
                <w:rFonts w:ascii="Arial" w:hAnsi="Arial" w:cs="Arial"/>
                <w:sz w:val="20"/>
                <w:szCs w:val="20"/>
              </w:rPr>
              <w:t>7.50 mg/L</w:t>
            </w:r>
          </w:p>
        </w:tc>
        <w:tc>
          <w:tcPr>
            <w:tcW w:w="2021" w:type="dxa"/>
            <w:vAlign w:val="center"/>
          </w:tcPr>
          <w:p w14:paraId="1B2C7762" w14:textId="77777777" w:rsidR="007A19AF" w:rsidRDefault="00F8030E">
            <w:pPr>
              <w:jc w:val="center"/>
              <w:rPr>
                <w:rFonts w:ascii="Arial" w:hAnsi="Arial" w:cs="Arial"/>
                <w:sz w:val="20"/>
                <w:szCs w:val="20"/>
              </w:rPr>
            </w:pPr>
            <w:r>
              <w:rPr>
                <w:rFonts w:ascii="Arial" w:hAnsi="Arial" w:cs="Arial"/>
                <w:sz w:val="20"/>
                <w:szCs w:val="20"/>
              </w:rPr>
              <w:t>2.22 mg/L</w:t>
            </w:r>
          </w:p>
        </w:tc>
        <w:tc>
          <w:tcPr>
            <w:tcW w:w="2135" w:type="dxa"/>
            <w:vAlign w:val="center"/>
          </w:tcPr>
          <w:p w14:paraId="13ECBBFA" w14:textId="77777777" w:rsidR="007A19AF" w:rsidRDefault="00F8030E">
            <w:pPr>
              <w:jc w:val="center"/>
              <w:rPr>
                <w:rFonts w:ascii="Arial" w:hAnsi="Arial" w:cs="Arial"/>
                <w:sz w:val="20"/>
                <w:szCs w:val="20"/>
              </w:rPr>
            </w:pPr>
            <w:r>
              <w:rPr>
                <w:rFonts w:ascii="Arial" w:hAnsi="Arial" w:cs="Arial"/>
                <w:sz w:val="20"/>
                <w:szCs w:val="20"/>
              </w:rPr>
              <w:t>9.40 mg/L</w:t>
            </w:r>
          </w:p>
        </w:tc>
      </w:tr>
      <w:tr w:rsidR="007A19AF" w14:paraId="7B97987B" w14:textId="77777777">
        <w:trPr>
          <w:trHeight w:val="296"/>
        </w:trPr>
        <w:tc>
          <w:tcPr>
            <w:tcW w:w="2654" w:type="dxa"/>
          </w:tcPr>
          <w:p w14:paraId="5FFC78F3" w14:textId="77777777" w:rsidR="007A19AF" w:rsidRDefault="00EA729F">
            <w:pPr>
              <w:jc w:val="both"/>
              <w:rPr>
                <w:rFonts w:ascii="Arial" w:hAnsi="Arial" w:cs="Arial"/>
                <w:sz w:val="20"/>
                <w:szCs w:val="20"/>
              </w:rPr>
            </w:pPr>
            <w:r>
              <w:rPr>
                <w:rFonts w:ascii="Arial" w:hAnsi="Arial" w:cs="Arial"/>
                <w:sz w:val="20"/>
                <w:szCs w:val="20"/>
              </w:rPr>
              <w:t xml:space="preserve">BOD 5-day </w:t>
            </w:r>
          </w:p>
          <w:p w14:paraId="73B8F2E4" w14:textId="77777777" w:rsidR="007A19AF" w:rsidRDefault="00EA729F">
            <w:pPr>
              <w:jc w:val="both"/>
              <w:rPr>
                <w:rFonts w:ascii="Arial" w:hAnsi="Arial" w:cs="Arial"/>
                <w:sz w:val="20"/>
                <w:szCs w:val="20"/>
              </w:rPr>
            </w:pPr>
            <w:r>
              <w:rPr>
                <w:rFonts w:ascii="Arial" w:hAnsi="Arial" w:cs="Arial"/>
                <w:sz w:val="20"/>
                <w:szCs w:val="20"/>
              </w:rPr>
              <w:t>November 1 – March. 31</w:t>
            </w:r>
          </w:p>
        </w:tc>
        <w:tc>
          <w:tcPr>
            <w:tcW w:w="1272" w:type="dxa"/>
            <w:vAlign w:val="center"/>
          </w:tcPr>
          <w:p w14:paraId="194B1542" w14:textId="77777777" w:rsidR="007A19AF" w:rsidRDefault="00EA729F">
            <w:pPr>
              <w:jc w:val="center"/>
              <w:rPr>
                <w:rFonts w:ascii="Arial" w:hAnsi="Arial" w:cs="Arial"/>
                <w:sz w:val="20"/>
                <w:szCs w:val="20"/>
              </w:rPr>
            </w:pPr>
            <w:r>
              <w:rPr>
                <w:rFonts w:ascii="Arial" w:hAnsi="Arial" w:cs="Arial"/>
                <w:sz w:val="20"/>
                <w:szCs w:val="20"/>
              </w:rPr>
              <w:t>10.0 mg/L</w:t>
            </w:r>
          </w:p>
        </w:tc>
        <w:tc>
          <w:tcPr>
            <w:tcW w:w="1274" w:type="dxa"/>
            <w:vAlign w:val="center"/>
          </w:tcPr>
          <w:p w14:paraId="707B4556" w14:textId="77777777" w:rsidR="007A19AF" w:rsidRDefault="00EA729F">
            <w:pPr>
              <w:jc w:val="center"/>
              <w:rPr>
                <w:rFonts w:ascii="Arial" w:hAnsi="Arial" w:cs="Arial"/>
                <w:sz w:val="20"/>
                <w:szCs w:val="20"/>
              </w:rPr>
            </w:pPr>
            <w:r>
              <w:rPr>
                <w:rFonts w:ascii="Arial" w:hAnsi="Arial" w:cs="Arial"/>
                <w:sz w:val="20"/>
                <w:szCs w:val="20"/>
              </w:rPr>
              <w:t>15.0 mg/L</w:t>
            </w:r>
          </w:p>
        </w:tc>
        <w:tc>
          <w:tcPr>
            <w:tcW w:w="2021" w:type="dxa"/>
            <w:vAlign w:val="center"/>
          </w:tcPr>
          <w:p w14:paraId="441FF592" w14:textId="77777777" w:rsidR="007A19AF" w:rsidRDefault="00F8030E">
            <w:pPr>
              <w:jc w:val="center"/>
              <w:rPr>
                <w:rFonts w:ascii="Arial" w:hAnsi="Arial" w:cs="Arial"/>
                <w:sz w:val="20"/>
                <w:szCs w:val="20"/>
              </w:rPr>
            </w:pPr>
            <w:r>
              <w:rPr>
                <w:rFonts w:ascii="Arial" w:hAnsi="Arial" w:cs="Arial"/>
                <w:sz w:val="20"/>
                <w:szCs w:val="20"/>
              </w:rPr>
              <w:t>2.04 mg/L</w:t>
            </w:r>
          </w:p>
        </w:tc>
        <w:tc>
          <w:tcPr>
            <w:tcW w:w="2135" w:type="dxa"/>
            <w:vAlign w:val="center"/>
          </w:tcPr>
          <w:p w14:paraId="191CA94C" w14:textId="77777777" w:rsidR="007A19AF" w:rsidRDefault="00EA729F">
            <w:pPr>
              <w:jc w:val="center"/>
              <w:rPr>
                <w:rFonts w:ascii="Arial" w:hAnsi="Arial" w:cs="Arial"/>
                <w:sz w:val="20"/>
                <w:szCs w:val="20"/>
              </w:rPr>
            </w:pPr>
            <w:r>
              <w:rPr>
                <w:rFonts w:ascii="Arial" w:hAnsi="Arial" w:cs="Arial"/>
                <w:sz w:val="20"/>
                <w:szCs w:val="20"/>
              </w:rPr>
              <w:t>2.</w:t>
            </w:r>
            <w:r w:rsidR="00F8030E">
              <w:rPr>
                <w:rFonts w:ascii="Arial" w:hAnsi="Arial" w:cs="Arial"/>
                <w:sz w:val="20"/>
                <w:szCs w:val="20"/>
              </w:rPr>
              <w:t>70</w:t>
            </w:r>
            <w:r>
              <w:rPr>
                <w:rFonts w:ascii="Arial" w:hAnsi="Arial" w:cs="Arial"/>
                <w:sz w:val="20"/>
                <w:szCs w:val="20"/>
              </w:rPr>
              <w:t xml:space="preserve"> mg/L</w:t>
            </w:r>
          </w:p>
        </w:tc>
      </w:tr>
      <w:tr w:rsidR="007A19AF" w14:paraId="3CEEBEA1" w14:textId="77777777">
        <w:trPr>
          <w:trHeight w:val="278"/>
        </w:trPr>
        <w:tc>
          <w:tcPr>
            <w:tcW w:w="2654" w:type="dxa"/>
            <w:vAlign w:val="center"/>
          </w:tcPr>
          <w:p w14:paraId="01C198A7" w14:textId="77777777" w:rsidR="007A19AF" w:rsidRDefault="00EA729F">
            <w:pPr>
              <w:rPr>
                <w:rFonts w:ascii="Arial" w:hAnsi="Arial" w:cs="Arial"/>
                <w:sz w:val="20"/>
                <w:szCs w:val="20"/>
              </w:rPr>
            </w:pPr>
            <w:r>
              <w:rPr>
                <w:rFonts w:ascii="Arial" w:hAnsi="Arial" w:cs="Arial"/>
                <w:sz w:val="20"/>
                <w:szCs w:val="20"/>
              </w:rPr>
              <w:t>Total Suspended Solids</w:t>
            </w:r>
          </w:p>
        </w:tc>
        <w:tc>
          <w:tcPr>
            <w:tcW w:w="1272" w:type="dxa"/>
            <w:vAlign w:val="center"/>
          </w:tcPr>
          <w:p w14:paraId="7B09FCC8" w14:textId="77777777" w:rsidR="007A19AF" w:rsidRDefault="00EA729F">
            <w:pPr>
              <w:jc w:val="center"/>
              <w:rPr>
                <w:rFonts w:ascii="Arial" w:hAnsi="Arial" w:cs="Arial"/>
                <w:sz w:val="20"/>
                <w:szCs w:val="20"/>
              </w:rPr>
            </w:pPr>
            <w:r>
              <w:rPr>
                <w:rFonts w:ascii="Arial" w:hAnsi="Arial" w:cs="Arial"/>
                <w:sz w:val="20"/>
                <w:szCs w:val="20"/>
              </w:rPr>
              <w:t>30.0 mg/L</w:t>
            </w:r>
          </w:p>
        </w:tc>
        <w:tc>
          <w:tcPr>
            <w:tcW w:w="1274" w:type="dxa"/>
            <w:vAlign w:val="center"/>
          </w:tcPr>
          <w:p w14:paraId="493374C0" w14:textId="77777777" w:rsidR="007A19AF" w:rsidRDefault="00EA729F">
            <w:pPr>
              <w:jc w:val="center"/>
              <w:rPr>
                <w:rFonts w:ascii="Arial" w:hAnsi="Arial" w:cs="Arial"/>
                <w:sz w:val="20"/>
                <w:szCs w:val="20"/>
              </w:rPr>
            </w:pPr>
            <w:r>
              <w:rPr>
                <w:rFonts w:ascii="Arial" w:hAnsi="Arial" w:cs="Arial"/>
                <w:sz w:val="20"/>
                <w:szCs w:val="20"/>
              </w:rPr>
              <w:t>45.0 mg/L</w:t>
            </w:r>
          </w:p>
        </w:tc>
        <w:tc>
          <w:tcPr>
            <w:tcW w:w="2021" w:type="dxa"/>
            <w:vAlign w:val="center"/>
          </w:tcPr>
          <w:p w14:paraId="5612D07A" w14:textId="77777777" w:rsidR="007A19AF" w:rsidRDefault="00E57F8F">
            <w:pPr>
              <w:jc w:val="center"/>
              <w:rPr>
                <w:rFonts w:ascii="Arial" w:hAnsi="Arial" w:cs="Arial"/>
                <w:sz w:val="20"/>
                <w:szCs w:val="20"/>
              </w:rPr>
            </w:pPr>
            <w:r>
              <w:rPr>
                <w:rFonts w:ascii="Arial" w:hAnsi="Arial" w:cs="Arial"/>
                <w:sz w:val="20"/>
                <w:szCs w:val="20"/>
              </w:rPr>
              <w:t>2.69 mg/L</w:t>
            </w:r>
          </w:p>
        </w:tc>
        <w:tc>
          <w:tcPr>
            <w:tcW w:w="2135" w:type="dxa"/>
            <w:vAlign w:val="center"/>
          </w:tcPr>
          <w:p w14:paraId="2AD4B349" w14:textId="77777777" w:rsidR="007A19AF" w:rsidRDefault="00E57F8F">
            <w:pPr>
              <w:jc w:val="center"/>
              <w:rPr>
                <w:rFonts w:ascii="Arial" w:hAnsi="Arial" w:cs="Arial"/>
                <w:sz w:val="20"/>
                <w:szCs w:val="20"/>
              </w:rPr>
            </w:pPr>
            <w:r>
              <w:rPr>
                <w:rFonts w:ascii="Arial" w:hAnsi="Arial" w:cs="Arial"/>
                <w:sz w:val="20"/>
                <w:szCs w:val="20"/>
              </w:rPr>
              <w:t>6.00 mg/L</w:t>
            </w:r>
          </w:p>
        </w:tc>
      </w:tr>
      <w:tr w:rsidR="007A19AF" w14:paraId="28D3DF2E" w14:textId="77777777">
        <w:trPr>
          <w:trHeight w:val="71"/>
        </w:trPr>
        <w:tc>
          <w:tcPr>
            <w:tcW w:w="2654" w:type="dxa"/>
          </w:tcPr>
          <w:p w14:paraId="2E13E86D" w14:textId="77777777" w:rsidR="007A19AF" w:rsidRDefault="00EA729F">
            <w:pPr>
              <w:jc w:val="both"/>
              <w:rPr>
                <w:rFonts w:ascii="Arial" w:hAnsi="Arial" w:cs="Arial"/>
                <w:sz w:val="20"/>
                <w:szCs w:val="20"/>
              </w:rPr>
            </w:pPr>
            <w:r>
              <w:rPr>
                <w:rFonts w:ascii="Arial" w:hAnsi="Arial" w:cs="Arial"/>
                <w:sz w:val="20"/>
                <w:szCs w:val="20"/>
              </w:rPr>
              <w:t>NH</w:t>
            </w:r>
            <w:r>
              <w:rPr>
                <w:rFonts w:ascii="Arial" w:hAnsi="Arial" w:cs="Arial"/>
                <w:sz w:val="16"/>
                <w:szCs w:val="16"/>
              </w:rPr>
              <w:t>3</w:t>
            </w:r>
            <w:r>
              <w:rPr>
                <w:rFonts w:ascii="Arial" w:hAnsi="Arial" w:cs="Arial"/>
                <w:sz w:val="20"/>
                <w:szCs w:val="20"/>
              </w:rPr>
              <w:t xml:space="preserve"> as N (Ammonia)</w:t>
            </w:r>
          </w:p>
          <w:p w14:paraId="4CC87171" w14:textId="77777777" w:rsidR="007A19AF" w:rsidRDefault="00EA729F">
            <w:pPr>
              <w:jc w:val="both"/>
              <w:rPr>
                <w:rFonts w:ascii="Arial" w:hAnsi="Arial" w:cs="Arial"/>
                <w:sz w:val="20"/>
                <w:szCs w:val="20"/>
              </w:rPr>
            </w:pPr>
            <w:r>
              <w:rPr>
                <w:rFonts w:ascii="Arial" w:hAnsi="Arial" w:cs="Arial"/>
                <w:sz w:val="20"/>
                <w:szCs w:val="20"/>
              </w:rPr>
              <w:t>April 1 – October 31</w:t>
            </w:r>
          </w:p>
        </w:tc>
        <w:tc>
          <w:tcPr>
            <w:tcW w:w="1272" w:type="dxa"/>
            <w:vAlign w:val="center"/>
          </w:tcPr>
          <w:p w14:paraId="40B4DFB5" w14:textId="77777777" w:rsidR="007A19AF" w:rsidRDefault="00EA729F">
            <w:pPr>
              <w:jc w:val="center"/>
              <w:rPr>
                <w:rFonts w:ascii="Arial" w:hAnsi="Arial" w:cs="Arial"/>
                <w:sz w:val="20"/>
                <w:szCs w:val="20"/>
              </w:rPr>
            </w:pPr>
            <w:r>
              <w:rPr>
                <w:rFonts w:ascii="Arial" w:hAnsi="Arial" w:cs="Arial"/>
                <w:sz w:val="20"/>
                <w:szCs w:val="20"/>
              </w:rPr>
              <w:t>2.0 mg/L</w:t>
            </w:r>
          </w:p>
        </w:tc>
        <w:tc>
          <w:tcPr>
            <w:tcW w:w="1274" w:type="dxa"/>
            <w:vAlign w:val="center"/>
          </w:tcPr>
          <w:p w14:paraId="75F6EC8E" w14:textId="77777777" w:rsidR="007A19AF" w:rsidRDefault="00EA729F">
            <w:pPr>
              <w:jc w:val="center"/>
              <w:rPr>
                <w:rFonts w:ascii="Arial" w:hAnsi="Arial" w:cs="Arial"/>
                <w:sz w:val="20"/>
                <w:szCs w:val="20"/>
              </w:rPr>
            </w:pPr>
            <w:r>
              <w:rPr>
                <w:rFonts w:ascii="Arial" w:hAnsi="Arial" w:cs="Arial"/>
                <w:sz w:val="20"/>
                <w:szCs w:val="20"/>
              </w:rPr>
              <w:t>6.0 mg/L</w:t>
            </w:r>
          </w:p>
        </w:tc>
        <w:tc>
          <w:tcPr>
            <w:tcW w:w="2021" w:type="dxa"/>
            <w:vAlign w:val="center"/>
          </w:tcPr>
          <w:p w14:paraId="1CDE0092" w14:textId="77777777" w:rsidR="007A19AF" w:rsidRDefault="00EA729F">
            <w:pPr>
              <w:jc w:val="center"/>
              <w:rPr>
                <w:rFonts w:ascii="Arial" w:hAnsi="Arial" w:cs="Arial"/>
                <w:sz w:val="20"/>
                <w:szCs w:val="20"/>
              </w:rPr>
            </w:pPr>
            <w:r>
              <w:rPr>
                <w:rFonts w:ascii="Arial" w:hAnsi="Arial" w:cs="Arial"/>
                <w:sz w:val="20"/>
                <w:szCs w:val="20"/>
              </w:rPr>
              <w:t>0.</w:t>
            </w:r>
            <w:r w:rsidR="007D62D0">
              <w:rPr>
                <w:rFonts w:ascii="Arial" w:hAnsi="Arial" w:cs="Arial"/>
                <w:sz w:val="20"/>
                <w:szCs w:val="20"/>
              </w:rPr>
              <w:t>16</w:t>
            </w:r>
            <w:r>
              <w:rPr>
                <w:rFonts w:ascii="Arial" w:hAnsi="Arial" w:cs="Arial"/>
                <w:sz w:val="20"/>
                <w:szCs w:val="20"/>
              </w:rPr>
              <w:t xml:space="preserve"> mg/L</w:t>
            </w:r>
          </w:p>
        </w:tc>
        <w:tc>
          <w:tcPr>
            <w:tcW w:w="2135" w:type="dxa"/>
            <w:vAlign w:val="center"/>
          </w:tcPr>
          <w:p w14:paraId="0BC8939F" w14:textId="77777777" w:rsidR="007A19AF" w:rsidRDefault="001C3B73">
            <w:pPr>
              <w:jc w:val="center"/>
              <w:rPr>
                <w:rFonts w:ascii="Arial" w:hAnsi="Arial" w:cs="Arial"/>
                <w:sz w:val="20"/>
                <w:szCs w:val="20"/>
              </w:rPr>
            </w:pPr>
            <w:r>
              <w:rPr>
                <w:rFonts w:ascii="Arial" w:hAnsi="Arial" w:cs="Arial"/>
                <w:sz w:val="20"/>
                <w:szCs w:val="20"/>
              </w:rPr>
              <w:t>2.31 mg/L</w:t>
            </w:r>
          </w:p>
        </w:tc>
      </w:tr>
      <w:tr w:rsidR="007A19AF" w14:paraId="0E08C5DF" w14:textId="77777777">
        <w:tc>
          <w:tcPr>
            <w:tcW w:w="2654" w:type="dxa"/>
          </w:tcPr>
          <w:p w14:paraId="6325A5D3" w14:textId="77777777" w:rsidR="007A19AF" w:rsidRDefault="00EA729F">
            <w:pPr>
              <w:jc w:val="both"/>
              <w:rPr>
                <w:rFonts w:ascii="Arial" w:hAnsi="Arial" w:cs="Arial"/>
                <w:sz w:val="20"/>
                <w:szCs w:val="20"/>
              </w:rPr>
            </w:pPr>
            <w:r>
              <w:rPr>
                <w:rFonts w:ascii="Arial" w:hAnsi="Arial" w:cs="Arial"/>
                <w:sz w:val="20"/>
                <w:szCs w:val="20"/>
              </w:rPr>
              <w:t>NH</w:t>
            </w:r>
            <w:r>
              <w:rPr>
                <w:rFonts w:ascii="Arial" w:hAnsi="Arial" w:cs="Arial"/>
                <w:sz w:val="16"/>
                <w:szCs w:val="16"/>
              </w:rPr>
              <w:t>3</w:t>
            </w:r>
            <w:r>
              <w:rPr>
                <w:rFonts w:ascii="Arial" w:hAnsi="Arial" w:cs="Arial"/>
                <w:sz w:val="20"/>
                <w:szCs w:val="20"/>
              </w:rPr>
              <w:t xml:space="preserve"> as N (Ammonia)</w:t>
            </w:r>
          </w:p>
          <w:p w14:paraId="36577FBF" w14:textId="77777777" w:rsidR="007A19AF" w:rsidRDefault="00EA729F">
            <w:pPr>
              <w:jc w:val="both"/>
              <w:rPr>
                <w:rFonts w:ascii="Arial" w:hAnsi="Arial" w:cs="Arial"/>
                <w:sz w:val="20"/>
                <w:szCs w:val="20"/>
              </w:rPr>
            </w:pPr>
            <w:r>
              <w:rPr>
                <w:rFonts w:ascii="Arial" w:hAnsi="Arial" w:cs="Arial"/>
                <w:sz w:val="20"/>
                <w:szCs w:val="20"/>
              </w:rPr>
              <w:t>November 1 – March 31</w:t>
            </w:r>
          </w:p>
        </w:tc>
        <w:tc>
          <w:tcPr>
            <w:tcW w:w="1272" w:type="dxa"/>
            <w:vAlign w:val="center"/>
          </w:tcPr>
          <w:p w14:paraId="55CC9209" w14:textId="77777777" w:rsidR="007A19AF" w:rsidRDefault="00EA729F">
            <w:pPr>
              <w:jc w:val="center"/>
              <w:rPr>
                <w:rFonts w:ascii="Arial" w:hAnsi="Arial" w:cs="Arial"/>
                <w:sz w:val="20"/>
                <w:szCs w:val="20"/>
              </w:rPr>
            </w:pPr>
            <w:r>
              <w:rPr>
                <w:rFonts w:ascii="Arial" w:hAnsi="Arial" w:cs="Arial"/>
                <w:sz w:val="20"/>
                <w:szCs w:val="20"/>
              </w:rPr>
              <w:t>4.0 mg/L</w:t>
            </w:r>
          </w:p>
        </w:tc>
        <w:tc>
          <w:tcPr>
            <w:tcW w:w="1274" w:type="dxa"/>
            <w:vAlign w:val="center"/>
          </w:tcPr>
          <w:p w14:paraId="240B4055" w14:textId="77777777" w:rsidR="007A19AF" w:rsidRDefault="00EA729F">
            <w:pPr>
              <w:jc w:val="center"/>
              <w:rPr>
                <w:rFonts w:ascii="Arial" w:hAnsi="Arial" w:cs="Arial"/>
                <w:sz w:val="20"/>
                <w:szCs w:val="20"/>
              </w:rPr>
            </w:pPr>
            <w:r>
              <w:rPr>
                <w:rFonts w:ascii="Arial" w:hAnsi="Arial" w:cs="Arial"/>
                <w:sz w:val="20"/>
                <w:szCs w:val="20"/>
              </w:rPr>
              <w:t>12.0 mg/L</w:t>
            </w:r>
          </w:p>
        </w:tc>
        <w:tc>
          <w:tcPr>
            <w:tcW w:w="2021" w:type="dxa"/>
            <w:vAlign w:val="center"/>
          </w:tcPr>
          <w:p w14:paraId="5EAFC748" w14:textId="77777777" w:rsidR="007A19AF" w:rsidRDefault="007D62D0">
            <w:pPr>
              <w:jc w:val="center"/>
              <w:rPr>
                <w:rFonts w:ascii="Arial" w:hAnsi="Arial" w:cs="Arial"/>
                <w:sz w:val="20"/>
                <w:szCs w:val="20"/>
              </w:rPr>
            </w:pPr>
            <w:r>
              <w:rPr>
                <w:rFonts w:ascii="Arial" w:hAnsi="Arial" w:cs="Arial"/>
                <w:sz w:val="20"/>
                <w:szCs w:val="20"/>
              </w:rPr>
              <w:t>0.40 mg/L</w:t>
            </w:r>
          </w:p>
        </w:tc>
        <w:tc>
          <w:tcPr>
            <w:tcW w:w="2135" w:type="dxa"/>
            <w:vAlign w:val="center"/>
          </w:tcPr>
          <w:p w14:paraId="187CFD29" w14:textId="77777777" w:rsidR="007A19AF" w:rsidRDefault="007D62D0">
            <w:pPr>
              <w:jc w:val="center"/>
              <w:rPr>
                <w:rFonts w:ascii="Arial" w:hAnsi="Arial" w:cs="Arial"/>
                <w:sz w:val="20"/>
                <w:szCs w:val="20"/>
              </w:rPr>
            </w:pPr>
            <w:r>
              <w:rPr>
                <w:rFonts w:ascii="Arial" w:hAnsi="Arial" w:cs="Arial"/>
                <w:sz w:val="20"/>
                <w:szCs w:val="20"/>
              </w:rPr>
              <w:t>8.28 mg/L</w:t>
            </w:r>
          </w:p>
        </w:tc>
      </w:tr>
      <w:tr w:rsidR="007A19AF" w14:paraId="13186D24" w14:textId="77777777">
        <w:tc>
          <w:tcPr>
            <w:tcW w:w="2654" w:type="dxa"/>
          </w:tcPr>
          <w:p w14:paraId="019BA36E" w14:textId="77777777" w:rsidR="007A19AF" w:rsidRDefault="00EA729F">
            <w:pPr>
              <w:jc w:val="both"/>
              <w:rPr>
                <w:rFonts w:ascii="Arial" w:hAnsi="Arial" w:cs="Arial"/>
                <w:sz w:val="20"/>
                <w:szCs w:val="20"/>
              </w:rPr>
            </w:pPr>
            <w:r>
              <w:rPr>
                <w:rFonts w:ascii="Arial" w:hAnsi="Arial" w:cs="Arial"/>
                <w:sz w:val="20"/>
                <w:szCs w:val="20"/>
              </w:rPr>
              <w:t>Fecal Coliform</w:t>
            </w:r>
          </w:p>
        </w:tc>
        <w:tc>
          <w:tcPr>
            <w:tcW w:w="1272" w:type="dxa"/>
          </w:tcPr>
          <w:p w14:paraId="4AD954E7" w14:textId="77777777" w:rsidR="007A19AF" w:rsidRDefault="00EA729F">
            <w:pPr>
              <w:jc w:val="both"/>
              <w:rPr>
                <w:rFonts w:ascii="Arial" w:hAnsi="Arial" w:cs="Arial"/>
                <w:sz w:val="20"/>
                <w:szCs w:val="20"/>
              </w:rPr>
            </w:pPr>
            <w:r>
              <w:rPr>
                <w:rFonts w:ascii="Arial" w:hAnsi="Arial" w:cs="Arial"/>
                <w:sz w:val="20"/>
                <w:szCs w:val="20"/>
              </w:rPr>
              <w:t>200/100/mL</w:t>
            </w:r>
          </w:p>
        </w:tc>
        <w:tc>
          <w:tcPr>
            <w:tcW w:w="1274" w:type="dxa"/>
          </w:tcPr>
          <w:p w14:paraId="0E9B06A0" w14:textId="77777777" w:rsidR="007A19AF" w:rsidRDefault="00EA729F">
            <w:pPr>
              <w:jc w:val="both"/>
              <w:rPr>
                <w:rFonts w:ascii="Arial" w:hAnsi="Arial" w:cs="Arial"/>
                <w:sz w:val="20"/>
                <w:szCs w:val="20"/>
              </w:rPr>
            </w:pPr>
            <w:r>
              <w:rPr>
                <w:rFonts w:ascii="Arial" w:hAnsi="Arial" w:cs="Arial"/>
                <w:sz w:val="20"/>
                <w:szCs w:val="20"/>
              </w:rPr>
              <w:t>400/100/mL</w:t>
            </w:r>
          </w:p>
        </w:tc>
        <w:tc>
          <w:tcPr>
            <w:tcW w:w="2021" w:type="dxa"/>
            <w:vAlign w:val="center"/>
          </w:tcPr>
          <w:p w14:paraId="6C59EBDC" w14:textId="77777777" w:rsidR="007A19AF" w:rsidRDefault="006E0E6B">
            <w:pPr>
              <w:jc w:val="center"/>
              <w:rPr>
                <w:rFonts w:ascii="Arial" w:hAnsi="Arial" w:cs="Arial"/>
                <w:sz w:val="20"/>
                <w:szCs w:val="20"/>
              </w:rPr>
            </w:pPr>
            <w:r>
              <w:rPr>
                <w:rFonts w:ascii="Arial" w:hAnsi="Arial" w:cs="Arial"/>
                <w:sz w:val="20"/>
                <w:szCs w:val="20"/>
              </w:rPr>
              <w:t>13.64/100/mL</w:t>
            </w:r>
          </w:p>
        </w:tc>
        <w:tc>
          <w:tcPr>
            <w:tcW w:w="2135" w:type="dxa"/>
            <w:vAlign w:val="center"/>
          </w:tcPr>
          <w:p w14:paraId="50BA388E" w14:textId="77777777" w:rsidR="007A19AF" w:rsidRDefault="00EA729F">
            <w:pPr>
              <w:jc w:val="center"/>
              <w:rPr>
                <w:rFonts w:ascii="Arial" w:hAnsi="Arial" w:cs="Arial"/>
                <w:sz w:val="20"/>
                <w:szCs w:val="20"/>
              </w:rPr>
            </w:pPr>
            <w:r>
              <w:rPr>
                <w:rFonts w:ascii="Arial" w:hAnsi="Arial" w:cs="Arial"/>
                <w:sz w:val="20"/>
                <w:szCs w:val="20"/>
              </w:rPr>
              <w:t>9,800.00/100/mL</w:t>
            </w:r>
          </w:p>
        </w:tc>
      </w:tr>
      <w:tr w:rsidR="007A19AF" w14:paraId="57C38E42" w14:textId="77777777">
        <w:tc>
          <w:tcPr>
            <w:tcW w:w="2654" w:type="dxa"/>
          </w:tcPr>
          <w:p w14:paraId="2B1FB17B" w14:textId="77777777" w:rsidR="007A19AF" w:rsidRDefault="00EA729F">
            <w:pPr>
              <w:jc w:val="both"/>
              <w:rPr>
                <w:rFonts w:ascii="Arial" w:hAnsi="Arial" w:cs="Arial"/>
                <w:sz w:val="20"/>
                <w:szCs w:val="20"/>
              </w:rPr>
            </w:pPr>
            <w:r>
              <w:rPr>
                <w:rFonts w:ascii="Arial" w:hAnsi="Arial" w:cs="Arial"/>
                <w:sz w:val="20"/>
                <w:szCs w:val="20"/>
              </w:rPr>
              <w:t>TN Load</w:t>
            </w:r>
          </w:p>
        </w:tc>
        <w:tc>
          <w:tcPr>
            <w:tcW w:w="2546" w:type="dxa"/>
            <w:gridSpan w:val="2"/>
            <w:vAlign w:val="center"/>
          </w:tcPr>
          <w:p w14:paraId="79E88662" w14:textId="77777777" w:rsidR="007A19AF" w:rsidRDefault="00EA729F">
            <w:pPr>
              <w:jc w:val="center"/>
              <w:rPr>
                <w:rFonts w:ascii="Arial" w:hAnsi="Arial" w:cs="Arial"/>
                <w:sz w:val="20"/>
                <w:szCs w:val="20"/>
              </w:rPr>
            </w:pPr>
            <w:r>
              <w:rPr>
                <w:rFonts w:ascii="Arial" w:hAnsi="Arial" w:cs="Arial"/>
                <w:sz w:val="20"/>
                <w:szCs w:val="20"/>
              </w:rPr>
              <w:t>7,096 lbs./year*</w:t>
            </w:r>
          </w:p>
        </w:tc>
        <w:tc>
          <w:tcPr>
            <w:tcW w:w="2021" w:type="dxa"/>
            <w:vAlign w:val="center"/>
          </w:tcPr>
          <w:p w14:paraId="68786179" w14:textId="77777777" w:rsidR="007A19AF" w:rsidRDefault="000233EE">
            <w:pPr>
              <w:jc w:val="center"/>
              <w:rPr>
                <w:rFonts w:ascii="Arial" w:hAnsi="Arial" w:cs="Arial"/>
                <w:sz w:val="20"/>
                <w:szCs w:val="20"/>
              </w:rPr>
            </w:pPr>
            <w:r>
              <w:rPr>
                <w:rFonts w:ascii="Arial" w:hAnsi="Arial" w:cs="Arial"/>
                <w:sz w:val="20"/>
                <w:szCs w:val="20"/>
              </w:rPr>
              <w:t>4.84 mg/L</w:t>
            </w:r>
          </w:p>
        </w:tc>
        <w:tc>
          <w:tcPr>
            <w:tcW w:w="2135" w:type="dxa"/>
            <w:vAlign w:val="center"/>
          </w:tcPr>
          <w:p w14:paraId="6D40532B" w14:textId="77777777" w:rsidR="007A19AF" w:rsidRDefault="000233EE">
            <w:pPr>
              <w:jc w:val="center"/>
              <w:rPr>
                <w:rFonts w:ascii="Arial" w:hAnsi="Arial" w:cs="Arial"/>
                <w:sz w:val="20"/>
                <w:szCs w:val="20"/>
              </w:rPr>
            </w:pPr>
            <w:r>
              <w:rPr>
                <w:rFonts w:ascii="Arial" w:hAnsi="Arial" w:cs="Arial"/>
                <w:sz w:val="20"/>
                <w:szCs w:val="20"/>
              </w:rPr>
              <w:t>13.97 mg/L</w:t>
            </w:r>
          </w:p>
        </w:tc>
      </w:tr>
      <w:tr w:rsidR="007A19AF" w14:paraId="61043946" w14:textId="77777777">
        <w:tc>
          <w:tcPr>
            <w:tcW w:w="2654" w:type="dxa"/>
          </w:tcPr>
          <w:p w14:paraId="04355AB7" w14:textId="77777777" w:rsidR="007A19AF" w:rsidRDefault="00EA729F">
            <w:pPr>
              <w:jc w:val="both"/>
              <w:rPr>
                <w:rFonts w:ascii="Arial" w:hAnsi="Arial" w:cs="Arial"/>
                <w:sz w:val="20"/>
                <w:szCs w:val="20"/>
              </w:rPr>
            </w:pPr>
            <w:r>
              <w:rPr>
                <w:rFonts w:ascii="Arial" w:hAnsi="Arial" w:cs="Arial"/>
                <w:sz w:val="20"/>
                <w:szCs w:val="20"/>
              </w:rPr>
              <w:t>Total Phosphorus</w:t>
            </w:r>
          </w:p>
        </w:tc>
        <w:tc>
          <w:tcPr>
            <w:tcW w:w="2546" w:type="dxa"/>
            <w:gridSpan w:val="2"/>
            <w:vAlign w:val="center"/>
          </w:tcPr>
          <w:p w14:paraId="0DE5BEB4" w14:textId="77777777" w:rsidR="007A19AF" w:rsidRDefault="00EA729F">
            <w:pPr>
              <w:jc w:val="center"/>
              <w:rPr>
                <w:rFonts w:ascii="Arial" w:hAnsi="Arial" w:cs="Arial"/>
                <w:sz w:val="20"/>
                <w:szCs w:val="20"/>
              </w:rPr>
            </w:pPr>
            <w:r>
              <w:rPr>
                <w:rFonts w:ascii="Arial" w:hAnsi="Arial" w:cs="Arial"/>
                <w:sz w:val="20"/>
                <w:szCs w:val="20"/>
              </w:rPr>
              <w:t>2.0 mg/L Quarterly Avg.</w:t>
            </w:r>
          </w:p>
        </w:tc>
        <w:tc>
          <w:tcPr>
            <w:tcW w:w="2021" w:type="dxa"/>
            <w:vAlign w:val="center"/>
          </w:tcPr>
          <w:p w14:paraId="41D1B6EA" w14:textId="77777777" w:rsidR="007A19AF" w:rsidRDefault="000233EE">
            <w:pPr>
              <w:jc w:val="center"/>
              <w:rPr>
                <w:rFonts w:ascii="Arial" w:hAnsi="Arial" w:cs="Arial"/>
                <w:sz w:val="20"/>
                <w:szCs w:val="20"/>
              </w:rPr>
            </w:pPr>
            <w:r>
              <w:rPr>
                <w:rFonts w:ascii="Arial" w:hAnsi="Arial" w:cs="Arial"/>
                <w:sz w:val="20"/>
                <w:szCs w:val="20"/>
              </w:rPr>
              <w:t>1.74 mg/L</w:t>
            </w:r>
          </w:p>
        </w:tc>
        <w:tc>
          <w:tcPr>
            <w:tcW w:w="2135" w:type="dxa"/>
            <w:vAlign w:val="center"/>
          </w:tcPr>
          <w:p w14:paraId="2562F957" w14:textId="77777777" w:rsidR="007A19AF" w:rsidRDefault="000233EE">
            <w:pPr>
              <w:jc w:val="center"/>
              <w:rPr>
                <w:rFonts w:ascii="Arial" w:hAnsi="Arial" w:cs="Arial"/>
                <w:sz w:val="20"/>
                <w:szCs w:val="20"/>
              </w:rPr>
            </w:pPr>
            <w:r>
              <w:rPr>
                <w:rFonts w:ascii="Arial" w:hAnsi="Arial" w:cs="Arial"/>
                <w:sz w:val="20"/>
                <w:szCs w:val="20"/>
              </w:rPr>
              <w:t>4.40 mg/L</w:t>
            </w:r>
          </w:p>
        </w:tc>
      </w:tr>
    </w:tbl>
    <w:p w14:paraId="7A1614E2" w14:textId="77777777" w:rsidR="007A19AF" w:rsidRDefault="00EA729F">
      <w:pPr>
        <w:jc w:val="both"/>
        <w:rPr>
          <w:rFonts w:ascii="Arial" w:hAnsi="Arial" w:cs="Arial"/>
          <w:sz w:val="16"/>
          <w:szCs w:val="16"/>
        </w:rPr>
      </w:pPr>
      <w:r>
        <w:rPr>
          <w:rFonts w:ascii="Arial" w:hAnsi="Arial" w:cs="Arial"/>
          <w:sz w:val="22"/>
          <w:szCs w:val="22"/>
        </w:rPr>
        <w:t xml:space="preserve">     </w:t>
      </w:r>
      <w:r>
        <w:rPr>
          <w:rFonts w:ascii="Arial" w:hAnsi="Arial" w:cs="Arial"/>
          <w:sz w:val="16"/>
          <w:szCs w:val="16"/>
        </w:rPr>
        <w:t xml:space="preserve">Total TN </w:t>
      </w:r>
      <w:r w:rsidR="006E0E6B">
        <w:rPr>
          <w:rFonts w:ascii="Arial" w:hAnsi="Arial" w:cs="Arial"/>
          <w:sz w:val="16"/>
          <w:szCs w:val="16"/>
        </w:rPr>
        <w:t>5195</w:t>
      </w:r>
      <w:r>
        <w:rPr>
          <w:rFonts w:ascii="Arial" w:hAnsi="Arial" w:cs="Arial"/>
          <w:sz w:val="16"/>
          <w:szCs w:val="16"/>
        </w:rPr>
        <w:t xml:space="preserve"> lbs./year = </w:t>
      </w:r>
      <w:r w:rsidR="006E0E6B">
        <w:rPr>
          <w:rFonts w:ascii="Arial" w:hAnsi="Arial" w:cs="Arial"/>
          <w:sz w:val="16"/>
          <w:szCs w:val="16"/>
        </w:rPr>
        <w:t>1901</w:t>
      </w:r>
      <w:r>
        <w:rPr>
          <w:rFonts w:ascii="Arial" w:hAnsi="Arial" w:cs="Arial"/>
          <w:sz w:val="16"/>
          <w:szCs w:val="16"/>
        </w:rPr>
        <w:t xml:space="preserve"> pounds </w:t>
      </w:r>
      <w:r w:rsidR="006E0E6B">
        <w:rPr>
          <w:rFonts w:ascii="Arial" w:hAnsi="Arial" w:cs="Arial"/>
          <w:sz w:val="16"/>
          <w:szCs w:val="16"/>
        </w:rPr>
        <w:t>under</w:t>
      </w:r>
      <w:r w:rsidR="00894B88">
        <w:rPr>
          <w:rFonts w:ascii="Arial" w:hAnsi="Arial" w:cs="Arial"/>
          <w:sz w:val="16"/>
          <w:szCs w:val="16"/>
        </w:rPr>
        <w:t xml:space="preserve"> annual limit</w:t>
      </w:r>
    </w:p>
    <w:p w14:paraId="3C2C15DE" w14:textId="77777777" w:rsidR="007A19AF" w:rsidRDefault="00EA729F">
      <w:pPr>
        <w:jc w:val="both"/>
        <w:rPr>
          <w:rFonts w:ascii="Arial" w:hAnsi="Arial" w:cs="Arial"/>
          <w:sz w:val="22"/>
          <w:szCs w:val="22"/>
        </w:rPr>
      </w:pPr>
      <w:r>
        <w:rPr>
          <w:rFonts w:ascii="Arial" w:hAnsi="Arial" w:cs="Arial"/>
          <w:sz w:val="22"/>
          <w:szCs w:val="22"/>
        </w:rPr>
        <w:t xml:space="preserve">Based on the current flow, the facility is at </w:t>
      </w:r>
      <w:r w:rsidR="00FF64C9">
        <w:rPr>
          <w:rFonts w:ascii="Arial" w:hAnsi="Arial" w:cs="Arial"/>
          <w:sz w:val="22"/>
          <w:szCs w:val="22"/>
        </w:rPr>
        <w:t>55</w:t>
      </w:r>
      <w:r>
        <w:rPr>
          <w:rFonts w:ascii="Arial" w:hAnsi="Arial" w:cs="Arial"/>
          <w:sz w:val="22"/>
          <w:szCs w:val="22"/>
        </w:rPr>
        <w:t>.2 % of its hydraulic Capacity</w:t>
      </w:r>
    </w:p>
    <w:p w14:paraId="024FB18E" w14:textId="77777777" w:rsidR="007A19AF" w:rsidRDefault="007A19AF">
      <w:pPr>
        <w:jc w:val="both"/>
        <w:rPr>
          <w:rFonts w:ascii="Arial" w:hAnsi="Arial" w:cs="Arial"/>
          <w:sz w:val="16"/>
          <w:szCs w:val="16"/>
        </w:rPr>
      </w:pPr>
    </w:p>
    <w:p w14:paraId="465B4823" w14:textId="77777777" w:rsidR="007A19AF" w:rsidRDefault="00EA729F">
      <w:pPr>
        <w:jc w:val="both"/>
        <w:rPr>
          <w:rFonts w:ascii="Arial" w:hAnsi="Arial" w:cs="Arial"/>
          <w:sz w:val="16"/>
          <w:szCs w:val="16"/>
        </w:rPr>
      </w:pPr>
      <w:r>
        <w:rPr>
          <w:rFonts w:ascii="Arial" w:hAnsi="Arial" w:cs="Arial"/>
          <w:sz w:val="16"/>
          <w:szCs w:val="16"/>
        </w:rPr>
        <w:t>Abbreviations:</w:t>
      </w:r>
      <w:r>
        <w:rPr>
          <w:rFonts w:ascii="Arial" w:hAnsi="Arial" w:cs="Arial"/>
          <w:sz w:val="16"/>
          <w:szCs w:val="16"/>
        </w:rPr>
        <w:tab/>
        <w:t>MGD</w:t>
      </w:r>
      <w:r>
        <w:rPr>
          <w:rFonts w:ascii="Arial" w:hAnsi="Arial" w:cs="Arial"/>
          <w:sz w:val="16"/>
          <w:szCs w:val="16"/>
        </w:rPr>
        <w:tab/>
      </w:r>
      <w:r>
        <w:rPr>
          <w:rFonts w:ascii="Arial" w:hAnsi="Arial" w:cs="Arial"/>
          <w:sz w:val="16"/>
          <w:szCs w:val="16"/>
        </w:rPr>
        <w:tab/>
        <w:t>Million Gallons per Day</w:t>
      </w:r>
    </w:p>
    <w:p w14:paraId="36EB3F5C" w14:textId="77777777" w:rsidR="007A19AF" w:rsidRDefault="00EA729F">
      <w:pPr>
        <w:jc w:val="both"/>
        <w:rPr>
          <w:rFonts w:ascii="Arial" w:hAnsi="Arial" w:cs="Arial"/>
          <w:sz w:val="16"/>
          <w:szCs w:val="16"/>
        </w:rPr>
      </w:pPr>
      <w:r>
        <w:rPr>
          <w:rFonts w:ascii="Arial" w:hAnsi="Arial" w:cs="Arial"/>
          <w:sz w:val="16"/>
          <w:szCs w:val="16"/>
        </w:rPr>
        <w:tab/>
      </w:r>
      <w:r>
        <w:rPr>
          <w:rFonts w:ascii="Arial" w:hAnsi="Arial" w:cs="Arial"/>
          <w:sz w:val="16"/>
          <w:szCs w:val="16"/>
        </w:rPr>
        <w:tab/>
        <w:t>GPD</w:t>
      </w:r>
      <w:r>
        <w:rPr>
          <w:rFonts w:ascii="Arial" w:hAnsi="Arial" w:cs="Arial"/>
          <w:sz w:val="16"/>
          <w:szCs w:val="16"/>
        </w:rPr>
        <w:tab/>
      </w:r>
      <w:r>
        <w:rPr>
          <w:rFonts w:ascii="Arial" w:hAnsi="Arial" w:cs="Arial"/>
          <w:sz w:val="16"/>
          <w:szCs w:val="16"/>
        </w:rPr>
        <w:tab/>
        <w:t>Gallons per Day</w:t>
      </w:r>
    </w:p>
    <w:p w14:paraId="79EA7254" w14:textId="77777777" w:rsidR="007A19AF" w:rsidRDefault="00EA729F">
      <w:pPr>
        <w:jc w:val="both"/>
        <w:rPr>
          <w:rFonts w:ascii="Arial" w:hAnsi="Arial" w:cs="Arial"/>
          <w:sz w:val="16"/>
          <w:szCs w:val="16"/>
        </w:rPr>
      </w:pPr>
      <w:r>
        <w:rPr>
          <w:rFonts w:ascii="Arial" w:hAnsi="Arial" w:cs="Arial"/>
          <w:sz w:val="16"/>
          <w:szCs w:val="16"/>
        </w:rPr>
        <w:tab/>
      </w:r>
      <w:r>
        <w:rPr>
          <w:rFonts w:ascii="Arial" w:hAnsi="Arial" w:cs="Arial"/>
          <w:sz w:val="16"/>
          <w:szCs w:val="16"/>
        </w:rPr>
        <w:tab/>
        <w:t>GPM</w:t>
      </w:r>
      <w:r>
        <w:rPr>
          <w:rFonts w:ascii="Arial" w:hAnsi="Arial" w:cs="Arial"/>
          <w:sz w:val="16"/>
          <w:szCs w:val="16"/>
        </w:rPr>
        <w:tab/>
      </w:r>
      <w:r>
        <w:rPr>
          <w:rFonts w:ascii="Arial" w:hAnsi="Arial" w:cs="Arial"/>
          <w:sz w:val="16"/>
          <w:szCs w:val="16"/>
        </w:rPr>
        <w:tab/>
        <w:t>Gallons per Minute</w:t>
      </w:r>
    </w:p>
    <w:p w14:paraId="3230EC6A" w14:textId="77777777" w:rsidR="007A19AF" w:rsidRDefault="00EA729F">
      <w:pPr>
        <w:jc w:val="both"/>
        <w:rPr>
          <w:rFonts w:ascii="Arial" w:hAnsi="Arial" w:cs="Arial"/>
          <w:sz w:val="16"/>
          <w:szCs w:val="16"/>
        </w:rPr>
      </w:pPr>
      <w:r>
        <w:rPr>
          <w:rFonts w:ascii="Arial" w:hAnsi="Arial" w:cs="Arial"/>
          <w:sz w:val="16"/>
          <w:szCs w:val="16"/>
        </w:rPr>
        <w:tab/>
      </w:r>
      <w:r>
        <w:rPr>
          <w:rFonts w:ascii="Arial" w:hAnsi="Arial" w:cs="Arial"/>
          <w:sz w:val="16"/>
          <w:szCs w:val="16"/>
        </w:rPr>
        <w:tab/>
        <w:t>mg/L</w:t>
      </w:r>
      <w:r>
        <w:rPr>
          <w:rFonts w:ascii="Arial" w:hAnsi="Arial" w:cs="Arial"/>
          <w:sz w:val="16"/>
          <w:szCs w:val="16"/>
        </w:rPr>
        <w:tab/>
      </w:r>
      <w:r>
        <w:rPr>
          <w:rFonts w:ascii="Arial" w:hAnsi="Arial" w:cs="Arial"/>
          <w:sz w:val="16"/>
          <w:szCs w:val="16"/>
        </w:rPr>
        <w:tab/>
        <w:t>Milligrams per Litter</w:t>
      </w:r>
    </w:p>
    <w:p w14:paraId="19EA6791" w14:textId="77777777" w:rsidR="007A19AF" w:rsidRDefault="00EA729F">
      <w:pPr>
        <w:jc w:val="both"/>
        <w:rPr>
          <w:rFonts w:ascii="Arial" w:hAnsi="Arial" w:cs="Arial"/>
          <w:sz w:val="16"/>
          <w:szCs w:val="16"/>
        </w:rPr>
      </w:pPr>
      <w:r>
        <w:rPr>
          <w:rFonts w:ascii="Arial" w:hAnsi="Arial" w:cs="Arial"/>
          <w:sz w:val="16"/>
          <w:szCs w:val="16"/>
        </w:rPr>
        <w:tab/>
      </w:r>
      <w:r>
        <w:rPr>
          <w:rFonts w:ascii="Arial" w:hAnsi="Arial" w:cs="Arial"/>
          <w:sz w:val="16"/>
          <w:szCs w:val="16"/>
        </w:rPr>
        <w:tab/>
        <w:t>mL/mo.</w:t>
      </w:r>
      <w:r>
        <w:rPr>
          <w:rFonts w:ascii="Arial" w:hAnsi="Arial" w:cs="Arial"/>
          <w:sz w:val="16"/>
          <w:szCs w:val="16"/>
        </w:rPr>
        <w:tab/>
      </w:r>
      <w:r>
        <w:rPr>
          <w:rFonts w:ascii="Arial" w:hAnsi="Arial" w:cs="Arial"/>
          <w:sz w:val="16"/>
          <w:szCs w:val="16"/>
        </w:rPr>
        <w:tab/>
        <w:t>Milliliters per 100-Milliliters</w:t>
      </w:r>
    </w:p>
    <w:p w14:paraId="5093DCF9" w14:textId="77777777" w:rsidR="007A19AF" w:rsidRDefault="00EA729F">
      <w:pPr>
        <w:jc w:val="both"/>
        <w:rPr>
          <w:rFonts w:ascii="Arial" w:hAnsi="Arial" w:cs="Arial"/>
          <w:sz w:val="16"/>
          <w:szCs w:val="16"/>
        </w:rPr>
      </w:pPr>
      <w:r>
        <w:rPr>
          <w:rFonts w:ascii="Arial" w:hAnsi="Arial" w:cs="Arial"/>
          <w:sz w:val="16"/>
          <w:szCs w:val="16"/>
        </w:rPr>
        <w:tab/>
      </w:r>
      <w:r>
        <w:rPr>
          <w:rFonts w:ascii="Arial" w:hAnsi="Arial" w:cs="Arial"/>
          <w:sz w:val="16"/>
          <w:szCs w:val="16"/>
        </w:rPr>
        <w:tab/>
        <w:t>TMDL</w:t>
      </w:r>
      <w:r>
        <w:rPr>
          <w:rFonts w:ascii="Arial" w:hAnsi="Arial" w:cs="Arial"/>
          <w:sz w:val="16"/>
          <w:szCs w:val="16"/>
        </w:rPr>
        <w:tab/>
      </w:r>
      <w:r>
        <w:rPr>
          <w:rFonts w:ascii="Arial" w:hAnsi="Arial" w:cs="Arial"/>
          <w:sz w:val="16"/>
          <w:szCs w:val="16"/>
        </w:rPr>
        <w:tab/>
        <w:t>Total Maximum Daily Load</w:t>
      </w:r>
    </w:p>
    <w:p w14:paraId="5391183E" w14:textId="77777777" w:rsidR="007A19AF" w:rsidRDefault="00EA729F">
      <w:pPr>
        <w:jc w:val="both"/>
        <w:rPr>
          <w:rFonts w:ascii="Arial" w:hAnsi="Arial" w:cs="Arial"/>
          <w:sz w:val="16"/>
          <w:szCs w:val="16"/>
        </w:rPr>
      </w:pPr>
      <w:r>
        <w:rPr>
          <w:rFonts w:ascii="Arial" w:hAnsi="Arial" w:cs="Arial"/>
          <w:sz w:val="16"/>
          <w:szCs w:val="16"/>
        </w:rPr>
        <w:tab/>
      </w:r>
      <w:r>
        <w:rPr>
          <w:rFonts w:ascii="Arial" w:hAnsi="Arial" w:cs="Arial"/>
          <w:sz w:val="16"/>
          <w:szCs w:val="16"/>
        </w:rPr>
        <w:tab/>
        <w:t>NPDES</w:t>
      </w:r>
      <w:r>
        <w:rPr>
          <w:rFonts w:ascii="Arial" w:hAnsi="Arial" w:cs="Arial"/>
          <w:sz w:val="16"/>
          <w:szCs w:val="16"/>
        </w:rPr>
        <w:tab/>
      </w:r>
      <w:r>
        <w:rPr>
          <w:rFonts w:ascii="Arial" w:hAnsi="Arial" w:cs="Arial"/>
          <w:sz w:val="16"/>
          <w:szCs w:val="16"/>
        </w:rPr>
        <w:tab/>
        <w:t xml:space="preserve">National Pollutant Discharge </w:t>
      </w:r>
      <w:r w:rsidR="00FF64C9">
        <w:rPr>
          <w:rFonts w:ascii="Arial" w:hAnsi="Arial" w:cs="Arial"/>
          <w:sz w:val="16"/>
          <w:szCs w:val="16"/>
        </w:rPr>
        <w:t>Elimination</w:t>
      </w:r>
      <w:r>
        <w:rPr>
          <w:rFonts w:ascii="Arial" w:hAnsi="Arial" w:cs="Arial"/>
          <w:sz w:val="16"/>
          <w:szCs w:val="16"/>
        </w:rPr>
        <w:t xml:space="preserve"> System</w:t>
      </w:r>
    </w:p>
    <w:p w14:paraId="005BEFEC" w14:textId="77777777" w:rsidR="007A19AF" w:rsidRDefault="00EA729F">
      <w:pPr>
        <w:jc w:val="both"/>
        <w:rPr>
          <w:rFonts w:ascii="Arial" w:hAnsi="Arial" w:cs="Arial"/>
          <w:sz w:val="16"/>
          <w:szCs w:val="16"/>
        </w:rPr>
      </w:pPr>
      <w:r>
        <w:rPr>
          <w:rFonts w:ascii="Arial" w:hAnsi="Arial" w:cs="Arial"/>
          <w:sz w:val="16"/>
          <w:szCs w:val="16"/>
        </w:rPr>
        <w:tab/>
      </w:r>
      <w:r>
        <w:rPr>
          <w:rFonts w:ascii="Arial" w:hAnsi="Arial" w:cs="Arial"/>
          <w:sz w:val="16"/>
          <w:szCs w:val="16"/>
        </w:rPr>
        <w:tab/>
        <w:t>LNBA</w:t>
      </w:r>
      <w:r>
        <w:rPr>
          <w:rFonts w:ascii="Arial" w:hAnsi="Arial" w:cs="Arial"/>
          <w:sz w:val="16"/>
          <w:szCs w:val="16"/>
        </w:rPr>
        <w:tab/>
      </w:r>
      <w:r>
        <w:rPr>
          <w:rFonts w:ascii="Arial" w:hAnsi="Arial" w:cs="Arial"/>
          <w:sz w:val="16"/>
          <w:szCs w:val="16"/>
        </w:rPr>
        <w:tab/>
        <w:t>Lower Neuse Basin Association</w:t>
      </w:r>
    </w:p>
    <w:p w14:paraId="620FEBB4" w14:textId="77777777" w:rsidR="007A19AF" w:rsidRDefault="00EA729F">
      <w:pPr>
        <w:jc w:val="both"/>
        <w:rPr>
          <w:rFonts w:ascii="Arial" w:hAnsi="Arial" w:cs="Arial"/>
          <w:sz w:val="16"/>
          <w:szCs w:val="16"/>
        </w:rPr>
      </w:pPr>
      <w:r>
        <w:rPr>
          <w:rFonts w:ascii="Arial" w:hAnsi="Arial" w:cs="Arial"/>
          <w:sz w:val="16"/>
          <w:szCs w:val="16"/>
        </w:rPr>
        <w:tab/>
      </w:r>
      <w:r>
        <w:rPr>
          <w:rFonts w:ascii="Arial" w:hAnsi="Arial" w:cs="Arial"/>
          <w:sz w:val="16"/>
          <w:szCs w:val="16"/>
        </w:rPr>
        <w:tab/>
        <w:t>NRCA</w:t>
      </w:r>
      <w:r>
        <w:rPr>
          <w:rFonts w:ascii="Arial" w:hAnsi="Arial" w:cs="Arial"/>
          <w:sz w:val="16"/>
          <w:szCs w:val="16"/>
        </w:rPr>
        <w:tab/>
      </w:r>
      <w:r>
        <w:rPr>
          <w:rFonts w:ascii="Arial" w:hAnsi="Arial" w:cs="Arial"/>
          <w:sz w:val="16"/>
          <w:szCs w:val="16"/>
        </w:rPr>
        <w:tab/>
        <w:t>Neuse River Compliance Association</w:t>
      </w:r>
    </w:p>
    <w:p w14:paraId="17D2305C" w14:textId="77777777" w:rsidR="007A19AF" w:rsidRDefault="00EA729F">
      <w:pPr>
        <w:jc w:val="both"/>
        <w:rPr>
          <w:rFonts w:ascii="Arial" w:hAnsi="Arial" w:cs="Arial"/>
          <w:sz w:val="16"/>
          <w:szCs w:val="16"/>
        </w:rPr>
      </w:pPr>
      <w:r>
        <w:rPr>
          <w:rFonts w:ascii="Arial" w:hAnsi="Arial" w:cs="Arial"/>
          <w:sz w:val="16"/>
          <w:szCs w:val="16"/>
        </w:rPr>
        <w:tab/>
      </w:r>
      <w:r>
        <w:rPr>
          <w:rFonts w:ascii="Arial" w:hAnsi="Arial" w:cs="Arial"/>
          <w:sz w:val="16"/>
          <w:szCs w:val="16"/>
        </w:rPr>
        <w:tab/>
        <w:t>BOD</w:t>
      </w:r>
      <w:r>
        <w:rPr>
          <w:rFonts w:ascii="Arial" w:hAnsi="Arial" w:cs="Arial"/>
          <w:sz w:val="16"/>
          <w:szCs w:val="16"/>
        </w:rPr>
        <w:tab/>
      </w:r>
      <w:r>
        <w:rPr>
          <w:rFonts w:ascii="Arial" w:hAnsi="Arial" w:cs="Arial"/>
          <w:sz w:val="16"/>
          <w:szCs w:val="16"/>
        </w:rPr>
        <w:tab/>
        <w:t>Biological Oxygen Demand</w:t>
      </w:r>
    </w:p>
    <w:p w14:paraId="759604B9" w14:textId="77777777" w:rsidR="007A19AF" w:rsidRDefault="00EA729F">
      <w:pPr>
        <w:jc w:val="both"/>
        <w:rPr>
          <w:rFonts w:ascii="Arial" w:hAnsi="Arial" w:cs="Arial"/>
          <w:sz w:val="16"/>
          <w:szCs w:val="16"/>
        </w:rPr>
      </w:pPr>
      <w:r>
        <w:rPr>
          <w:rFonts w:ascii="Arial" w:hAnsi="Arial" w:cs="Arial"/>
          <w:sz w:val="16"/>
          <w:szCs w:val="16"/>
        </w:rPr>
        <w:tab/>
      </w:r>
      <w:r>
        <w:rPr>
          <w:rFonts w:ascii="Arial" w:hAnsi="Arial" w:cs="Arial"/>
          <w:sz w:val="16"/>
          <w:szCs w:val="16"/>
        </w:rPr>
        <w:tab/>
        <w:t>TSS</w:t>
      </w:r>
      <w:r>
        <w:rPr>
          <w:rFonts w:ascii="Arial" w:hAnsi="Arial" w:cs="Arial"/>
          <w:sz w:val="16"/>
          <w:szCs w:val="16"/>
        </w:rPr>
        <w:tab/>
      </w:r>
      <w:r>
        <w:rPr>
          <w:rFonts w:ascii="Arial" w:hAnsi="Arial" w:cs="Arial"/>
          <w:sz w:val="16"/>
          <w:szCs w:val="16"/>
        </w:rPr>
        <w:tab/>
        <w:t>Total Suspended Solids</w:t>
      </w:r>
    </w:p>
    <w:p w14:paraId="17401C1B" w14:textId="77777777" w:rsidR="007A19AF" w:rsidRDefault="00EA729F">
      <w:pPr>
        <w:jc w:val="both"/>
        <w:rPr>
          <w:rFonts w:ascii="Arial" w:hAnsi="Arial" w:cs="Arial"/>
          <w:sz w:val="16"/>
          <w:szCs w:val="16"/>
        </w:rPr>
      </w:pPr>
      <w:r>
        <w:rPr>
          <w:rFonts w:ascii="Arial" w:hAnsi="Arial" w:cs="Arial"/>
          <w:sz w:val="16"/>
          <w:szCs w:val="16"/>
        </w:rPr>
        <w:tab/>
      </w:r>
      <w:r>
        <w:rPr>
          <w:rFonts w:ascii="Arial" w:hAnsi="Arial" w:cs="Arial"/>
          <w:sz w:val="16"/>
          <w:szCs w:val="16"/>
        </w:rPr>
        <w:tab/>
        <w:t>TN</w:t>
      </w:r>
      <w:r>
        <w:rPr>
          <w:rFonts w:ascii="Arial" w:hAnsi="Arial" w:cs="Arial"/>
          <w:sz w:val="16"/>
          <w:szCs w:val="16"/>
        </w:rPr>
        <w:tab/>
      </w:r>
      <w:r>
        <w:rPr>
          <w:rFonts w:ascii="Arial" w:hAnsi="Arial" w:cs="Arial"/>
          <w:sz w:val="16"/>
          <w:szCs w:val="16"/>
        </w:rPr>
        <w:tab/>
        <w:t>Total Nitrogen</w:t>
      </w:r>
    </w:p>
    <w:p w14:paraId="1182E4B2" w14:textId="77777777" w:rsidR="007A19AF" w:rsidRDefault="00EA729F">
      <w:pPr>
        <w:jc w:val="both"/>
        <w:rPr>
          <w:rFonts w:ascii="Arial" w:hAnsi="Arial" w:cs="Arial"/>
          <w:sz w:val="16"/>
          <w:szCs w:val="16"/>
        </w:rPr>
      </w:pPr>
      <w:r>
        <w:rPr>
          <w:rFonts w:ascii="Arial" w:hAnsi="Arial" w:cs="Arial"/>
          <w:sz w:val="16"/>
          <w:szCs w:val="16"/>
        </w:rPr>
        <w:tab/>
      </w:r>
      <w:r>
        <w:rPr>
          <w:rFonts w:ascii="Arial" w:hAnsi="Arial" w:cs="Arial"/>
          <w:sz w:val="16"/>
          <w:szCs w:val="16"/>
        </w:rPr>
        <w:tab/>
        <w:t>NOV</w:t>
      </w:r>
      <w:r>
        <w:rPr>
          <w:rFonts w:ascii="Arial" w:hAnsi="Arial" w:cs="Arial"/>
          <w:sz w:val="16"/>
          <w:szCs w:val="16"/>
        </w:rPr>
        <w:tab/>
      </w:r>
      <w:r>
        <w:rPr>
          <w:rFonts w:ascii="Arial" w:hAnsi="Arial" w:cs="Arial"/>
          <w:sz w:val="16"/>
          <w:szCs w:val="16"/>
        </w:rPr>
        <w:tab/>
        <w:t>Notice of Violation</w:t>
      </w:r>
    </w:p>
    <w:p w14:paraId="658C2C92" w14:textId="77777777" w:rsidR="007A19AF" w:rsidRDefault="00EA729F">
      <w:pPr>
        <w:jc w:val="both"/>
        <w:rPr>
          <w:rFonts w:ascii="Arial" w:hAnsi="Arial" w:cs="Arial"/>
          <w:sz w:val="16"/>
          <w:szCs w:val="16"/>
        </w:rPr>
      </w:pPr>
      <w:r>
        <w:rPr>
          <w:rFonts w:ascii="Arial" w:hAnsi="Arial" w:cs="Arial"/>
          <w:sz w:val="16"/>
          <w:szCs w:val="16"/>
        </w:rPr>
        <w:tab/>
      </w:r>
      <w:r>
        <w:rPr>
          <w:rFonts w:ascii="Arial" w:hAnsi="Arial" w:cs="Arial"/>
          <w:sz w:val="16"/>
          <w:szCs w:val="16"/>
        </w:rPr>
        <w:tab/>
        <w:t>NCDEQ</w:t>
      </w:r>
      <w:r>
        <w:rPr>
          <w:rFonts w:ascii="Arial" w:hAnsi="Arial" w:cs="Arial"/>
          <w:sz w:val="16"/>
          <w:szCs w:val="16"/>
        </w:rPr>
        <w:tab/>
      </w:r>
      <w:r>
        <w:rPr>
          <w:rFonts w:ascii="Arial" w:hAnsi="Arial" w:cs="Arial"/>
          <w:sz w:val="16"/>
          <w:szCs w:val="16"/>
        </w:rPr>
        <w:tab/>
        <w:t>North Carolina Department of Environmental Quality</w:t>
      </w:r>
    </w:p>
    <w:p w14:paraId="4D96C7D0" w14:textId="77777777" w:rsidR="007A19AF" w:rsidRDefault="007A19AF">
      <w:pPr>
        <w:jc w:val="both"/>
        <w:rPr>
          <w:rFonts w:ascii="Arial" w:hAnsi="Arial" w:cs="Arial"/>
          <w:sz w:val="16"/>
          <w:szCs w:val="16"/>
        </w:rPr>
      </w:pPr>
    </w:p>
    <w:p w14:paraId="2C7C4A2F" w14:textId="77777777" w:rsidR="007A19AF" w:rsidRDefault="00EA729F">
      <w:pPr>
        <w:jc w:val="both"/>
        <w:rPr>
          <w:rFonts w:ascii="Arial" w:hAnsi="Arial" w:cs="Arial"/>
          <w:b/>
          <w:bCs/>
          <w:sz w:val="22"/>
          <w:szCs w:val="22"/>
        </w:rPr>
      </w:pPr>
      <w:r>
        <w:rPr>
          <w:rFonts w:ascii="Arial" w:hAnsi="Arial" w:cs="Arial"/>
          <w:b/>
          <w:bCs/>
          <w:sz w:val="22"/>
          <w:szCs w:val="22"/>
        </w:rPr>
        <w:t>Summary of Performance:</w:t>
      </w:r>
    </w:p>
    <w:p w14:paraId="3736BBD3" w14:textId="77777777" w:rsidR="007A19AF" w:rsidRDefault="007A19AF">
      <w:pPr>
        <w:jc w:val="both"/>
        <w:rPr>
          <w:rFonts w:ascii="Arial" w:hAnsi="Arial" w:cs="Arial"/>
          <w:sz w:val="22"/>
          <w:szCs w:val="22"/>
        </w:rPr>
      </w:pPr>
    </w:p>
    <w:tbl>
      <w:tblPr>
        <w:tblStyle w:val="TableGrid"/>
        <w:tblW w:w="8901" w:type="dxa"/>
        <w:tblLayout w:type="fixed"/>
        <w:tblLook w:val="04A0" w:firstRow="1" w:lastRow="0" w:firstColumn="1" w:lastColumn="0" w:noHBand="0" w:noVBand="1"/>
      </w:tblPr>
      <w:tblGrid>
        <w:gridCol w:w="1345"/>
        <w:gridCol w:w="2610"/>
        <w:gridCol w:w="2474"/>
        <w:gridCol w:w="2472"/>
      </w:tblGrid>
      <w:tr w:rsidR="007A19AF" w14:paraId="7713457B" w14:textId="77777777">
        <w:tc>
          <w:tcPr>
            <w:tcW w:w="1344" w:type="dxa"/>
          </w:tcPr>
          <w:p w14:paraId="49D063D2" w14:textId="77777777" w:rsidR="007A19AF" w:rsidRDefault="00EA729F">
            <w:pPr>
              <w:contextualSpacing/>
              <w:jc w:val="center"/>
              <w:rPr>
                <w:rFonts w:ascii="Arial" w:hAnsi="Arial" w:cs="Arial"/>
                <w:b/>
                <w:bCs/>
                <w:sz w:val="22"/>
                <w:szCs w:val="22"/>
              </w:rPr>
            </w:pPr>
            <w:r>
              <w:rPr>
                <w:rFonts w:ascii="Arial" w:hAnsi="Arial" w:cs="Arial"/>
                <w:b/>
                <w:bCs/>
                <w:sz w:val="22"/>
                <w:szCs w:val="22"/>
              </w:rPr>
              <w:t>Date</w:t>
            </w:r>
          </w:p>
        </w:tc>
        <w:tc>
          <w:tcPr>
            <w:tcW w:w="2610" w:type="dxa"/>
          </w:tcPr>
          <w:p w14:paraId="5A9244C8" w14:textId="77777777" w:rsidR="007A19AF" w:rsidRDefault="00EA729F">
            <w:pPr>
              <w:contextualSpacing/>
              <w:jc w:val="center"/>
              <w:rPr>
                <w:rFonts w:ascii="Arial" w:hAnsi="Arial" w:cs="Arial"/>
                <w:b/>
                <w:bCs/>
                <w:sz w:val="22"/>
                <w:szCs w:val="22"/>
              </w:rPr>
            </w:pPr>
            <w:r>
              <w:rPr>
                <w:rFonts w:ascii="Arial" w:hAnsi="Arial" w:cs="Arial"/>
                <w:b/>
                <w:bCs/>
                <w:sz w:val="22"/>
                <w:szCs w:val="22"/>
              </w:rPr>
              <w:t>Parameter</w:t>
            </w:r>
          </w:p>
        </w:tc>
        <w:tc>
          <w:tcPr>
            <w:tcW w:w="2474" w:type="dxa"/>
          </w:tcPr>
          <w:p w14:paraId="38659029" w14:textId="77777777" w:rsidR="007A19AF" w:rsidRDefault="00EA729F">
            <w:pPr>
              <w:contextualSpacing/>
              <w:jc w:val="center"/>
              <w:rPr>
                <w:rFonts w:ascii="Arial" w:hAnsi="Arial" w:cs="Arial"/>
                <w:b/>
                <w:bCs/>
                <w:sz w:val="22"/>
                <w:szCs w:val="22"/>
              </w:rPr>
            </w:pPr>
            <w:r>
              <w:rPr>
                <w:rFonts w:ascii="Arial" w:hAnsi="Arial" w:cs="Arial"/>
                <w:b/>
                <w:bCs/>
                <w:sz w:val="22"/>
                <w:szCs w:val="22"/>
              </w:rPr>
              <w:t>Limit</w:t>
            </w:r>
          </w:p>
        </w:tc>
        <w:tc>
          <w:tcPr>
            <w:tcW w:w="2472" w:type="dxa"/>
          </w:tcPr>
          <w:p w14:paraId="2B585721" w14:textId="77777777" w:rsidR="007A19AF" w:rsidRDefault="00EA729F">
            <w:pPr>
              <w:contextualSpacing/>
              <w:jc w:val="center"/>
              <w:rPr>
                <w:rFonts w:ascii="Arial" w:hAnsi="Arial" w:cs="Arial"/>
                <w:b/>
                <w:bCs/>
                <w:sz w:val="22"/>
                <w:szCs w:val="22"/>
              </w:rPr>
            </w:pPr>
            <w:r>
              <w:rPr>
                <w:rFonts w:ascii="Arial" w:hAnsi="Arial" w:cs="Arial"/>
                <w:b/>
                <w:bCs/>
                <w:sz w:val="22"/>
                <w:szCs w:val="22"/>
              </w:rPr>
              <w:t>Measured</w:t>
            </w:r>
          </w:p>
        </w:tc>
      </w:tr>
      <w:tr w:rsidR="007A19AF" w14:paraId="3B77DA1C" w14:textId="77777777">
        <w:tc>
          <w:tcPr>
            <w:tcW w:w="1344" w:type="dxa"/>
          </w:tcPr>
          <w:p w14:paraId="395D7E3D" w14:textId="77777777" w:rsidR="007A19AF" w:rsidRDefault="007A19AF">
            <w:pPr>
              <w:contextualSpacing/>
              <w:jc w:val="both"/>
              <w:rPr>
                <w:rFonts w:ascii="Arial" w:hAnsi="Arial" w:cs="Arial"/>
                <w:sz w:val="22"/>
                <w:szCs w:val="22"/>
              </w:rPr>
            </w:pPr>
          </w:p>
        </w:tc>
        <w:tc>
          <w:tcPr>
            <w:tcW w:w="2610" w:type="dxa"/>
          </w:tcPr>
          <w:p w14:paraId="52C0BC0E" w14:textId="77777777" w:rsidR="007A19AF" w:rsidRDefault="007A19AF">
            <w:pPr>
              <w:contextualSpacing/>
              <w:jc w:val="both"/>
              <w:rPr>
                <w:rFonts w:ascii="Arial" w:hAnsi="Arial" w:cs="Arial"/>
                <w:sz w:val="22"/>
                <w:szCs w:val="22"/>
              </w:rPr>
            </w:pPr>
          </w:p>
        </w:tc>
        <w:tc>
          <w:tcPr>
            <w:tcW w:w="2474" w:type="dxa"/>
          </w:tcPr>
          <w:p w14:paraId="46FB5361" w14:textId="77777777" w:rsidR="007A19AF" w:rsidRDefault="007A19AF">
            <w:pPr>
              <w:contextualSpacing/>
              <w:jc w:val="both"/>
              <w:rPr>
                <w:rFonts w:ascii="Arial" w:hAnsi="Arial" w:cs="Arial"/>
                <w:sz w:val="22"/>
                <w:szCs w:val="22"/>
              </w:rPr>
            </w:pPr>
          </w:p>
        </w:tc>
        <w:tc>
          <w:tcPr>
            <w:tcW w:w="2472" w:type="dxa"/>
          </w:tcPr>
          <w:p w14:paraId="32BA9877" w14:textId="77777777" w:rsidR="007A19AF" w:rsidRDefault="007A19AF">
            <w:pPr>
              <w:contextualSpacing/>
              <w:jc w:val="both"/>
              <w:rPr>
                <w:rFonts w:ascii="Arial" w:hAnsi="Arial" w:cs="Arial"/>
                <w:sz w:val="22"/>
                <w:szCs w:val="22"/>
              </w:rPr>
            </w:pPr>
          </w:p>
        </w:tc>
      </w:tr>
      <w:tr w:rsidR="007A19AF" w14:paraId="2C2EE1DB" w14:textId="77777777">
        <w:tc>
          <w:tcPr>
            <w:tcW w:w="1344" w:type="dxa"/>
          </w:tcPr>
          <w:p w14:paraId="7FF72595" w14:textId="77777777" w:rsidR="007A19AF" w:rsidRDefault="007A19AF">
            <w:pPr>
              <w:contextualSpacing/>
              <w:jc w:val="both"/>
              <w:rPr>
                <w:rFonts w:ascii="Arial" w:hAnsi="Arial" w:cs="Arial"/>
                <w:sz w:val="22"/>
                <w:szCs w:val="22"/>
              </w:rPr>
            </w:pPr>
          </w:p>
        </w:tc>
        <w:tc>
          <w:tcPr>
            <w:tcW w:w="2610" w:type="dxa"/>
          </w:tcPr>
          <w:p w14:paraId="4769B4EC" w14:textId="77777777" w:rsidR="007A19AF" w:rsidRDefault="007A19AF">
            <w:pPr>
              <w:contextualSpacing/>
              <w:jc w:val="both"/>
              <w:rPr>
                <w:rFonts w:ascii="Arial" w:hAnsi="Arial" w:cs="Arial"/>
                <w:sz w:val="22"/>
                <w:szCs w:val="22"/>
              </w:rPr>
            </w:pPr>
          </w:p>
        </w:tc>
        <w:tc>
          <w:tcPr>
            <w:tcW w:w="2474" w:type="dxa"/>
          </w:tcPr>
          <w:p w14:paraId="3D4E9BE0" w14:textId="77777777" w:rsidR="007A19AF" w:rsidRDefault="007A19AF">
            <w:pPr>
              <w:contextualSpacing/>
              <w:jc w:val="both"/>
              <w:rPr>
                <w:rFonts w:ascii="Arial" w:hAnsi="Arial" w:cs="Arial"/>
                <w:sz w:val="22"/>
                <w:szCs w:val="22"/>
              </w:rPr>
            </w:pPr>
          </w:p>
        </w:tc>
        <w:tc>
          <w:tcPr>
            <w:tcW w:w="2472" w:type="dxa"/>
          </w:tcPr>
          <w:p w14:paraId="0BBEA78F" w14:textId="77777777" w:rsidR="007A19AF" w:rsidRDefault="007A19AF">
            <w:pPr>
              <w:contextualSpacing/>
              <w:jc w:val="both"/>
              <w:rPr>
                <w:rFonts w:ascii="Arial" w:hAnsi="Arial" w:cs="Arial"/>
                <w:sz w:val="22"/>
                <w:szCs w:val="22"/>
              </w:rPr>
            </w:pPr>
          </w:p>
        </w:tc>
      </w:tr>
      <w:tr w:rsidR="007A19AF" w14:paraId="2429C0E6" w14:textId="77777777">
        <w:tc>
          <w:tcPr>
            <w:tcW w:w="1344" w:type="dxa"/>
          </w:tcPr>
          <w:p w14:paraId="1D9B5E49" w14:textId="77777777" w:rsidR="007A19AF" w:rsidRDefault="007A19AF">
            <w:pPr>
              <w:contextualSpacing/>
              <w:jc w:val="both"/>
              <w:rPr>
                <w:rFonts w:ascii="Arial" w:hAnsi="Arial" w:cs="Arial"/>
                <w:sz w:val="22"/>
                <w:szCs w:val="22"/>
              </w:rPr>
            </w:pPr>
          </w:p>
        </w:tc>
        <w:tc>
          <w:tcPr>
            <w:tcW w:w="2610" w:type="dxa"/>
          </w:tcPr>
          <w:p w14:paraId="6C7CD42F" w14:textId="77777777" w:rsidR="007A19AF" w:rsidRDefault="007A19AF">
            <w:pPr>
              <w:contextualSpacing/>
              <w:jc w:val="both"/>
              <w:rPr>
                <w:rFonts w:ascii="Arial" w:hAnsi="Arial" w:cs="Arial"/>
                <w:sz w:val="22"/>
                <w:szCs w:val="22"/>
              </w:rPr>
            </w:pPr>
          </w:p>
        </w:tc>
        <w:tc>
          <w:tcPr>
            <w:tcW w:w="2474" w:type="dxa"/>
          </w:tcPr>
          <w:p w14:paraId="0BE4FBB9" w14:textId="77777777" w:rsidR="007A19AF" w:rsidRDefault="007A19AF">
            <w:pPr>
              <w:contextualSpacing/>
              <w:jc w:val="both"/>
              <w:rPr>
                <w:rFonts w:ascii="Arial" w:hAnsi="Arial" w:cs="Arial"/>
                <w:sz w:val="22"/>
                <w:szCs w:val="22"/>
              </w:rPr>
            </w:pPr>
          </w:p>
        </w:tc>
        <w:tc>
          <w:tcPr>
            <w:tcW w:w="2472" w:type="dxa"/>
          </w:tcPr>
          <w:p w14:paraId="6A99AA5E" w14:textId="77777777" w:rsidR="007A19AF" w:rsidRDefault="007A19AF">
            <w:pPr>
              <w:contextualSpacing/>
              <w:jc w:val="both"/>
              <w:rPr>
                <w:rFonts w:ascii="Arial" w:hAnsi="Arial" w:cs="Arial"/>
                <w:sz w:val="22"/>
                <w:szCs w:val="22"/>
              </w:rPr>
            </w:pPr>
          </w:p>
        </w:tc>
      </w:tr>
      <w:tr w:rsidR="007A19AF" w14:paraId="75226A7A" w14:textId="77777777">
        <w:tc>
          <w:tcPr>
            <w:tcW w:w="1344" w:type="dxa"/>
          </w:tcPr>
          <w:p w14:paraId="70DA0ED8" w14:textId="77777777" w:rsidR="007A19AF" w:rsidRDefault="007A19AF">
            <w:pPr>
              <w:contextualSpacing/>
              <w:jc w:val="both"/>
              <w:rPr>
                <w:rFonts w:ascii="Arial" w:hAnsi="Arial" w:cs="Arial"/>
                <w:sz w:val="22"/>
                <w:szCs w:val="22"/>
              </w:rPr>
            </w:pPr>
          </w:p>
        </w:tc>
        <w:tc>
          <w:tcPr>
            <w:tcW w:w="2610" w:type="dxa"/>
          </w:tcPr>
          <w:p w14:paraId="787865C2" w14:textId="77777777" w:rsidR="007A19AF" w:rsidRDefault="007A19AF">
            <w:pPr>
              <w:contextualSpacing/>
              <w:jc w:val="both"/>
              <w:rPr>
                <w:rFonts w:ascii="Arial" w:hAnsi="Arial" w:cs="Arial"/>
                <w:sz w:val="22"/>
                <w:szCs w:val="22"/>
              </w:rPr>
            </w:pPr>
          </w:p>
        </w:tc>
        <w:tc>
          <w:tcPr>
            <w:tcW w:w="2474" w:type="dxa"/>
          </w:tcPr>
          <w:p w14:paraId="3DE4B5E4" w14:textId="77777777" w:rsidR="007A19AF" w:rsidRDefault="007A19AF">
            <w:pPr>
              <w:contextualSpacing/>
              <w:jc w:val="both"/>
              <w:rPr>
                <w:rFonts w:ascii="Arial" w:hAnsi="Arial" w:cs="Arial"/>
                <w:sz w:val="22"/>
                <w:szCs w:val="22"/>
              </w:rPr>
            </w:pPr>
          </w:p>
        </w:tc>
        <w:tc>
          <w:tcPr>
            <w:tcW w:w="2472" w:type="dxa"/>
          </w:tcPr>
          <w:p w14:paraId="0A22D3C2" w14:textId="77777777" w:rsidR="007A19AF" w:rsidRDefault="007A19AF">
            <w:pPr>
              <w:contextualSpacing/>
              <w:jc w:val="both"/>
              <w:rPr>
                <w:rFonts w:ascii="Arial" w:hAnsi="Arial" w:cs="Arial"/>
                <w:sz w:val="22"/>
                <w:szCs w:val="22"/>
              </w:rPr>
            </w:pPr>
          </w:p>
        </w:tc>
      </w:tr>
      <w:tr w:rsidR="007A19AF" w14:paraId="4633B32F" w14:textId="77777777">
        <w:tc>
          <w:tcPr>
            <w:tcW w:w="1344" w:type="dxa"/>
          </w:tcPr>
          <w:p w14:paraId="445BC295" w14:textId="77777777" w:rsidR="007A19AF" w:rsidRDefault="007A19AF">
            <w:pPr>
              <w:contextualSpacing/>
              <w:jc w:val="both"/>
              <w:rPr>
                <w:rFonts w:ascii="Arial" w:hAnsi="Arial" w:cs="Arial"/>
                <w:sz w:val="22"/>
                <w:szCs w:val="22"/>
              </w:rPr>
            </w:pPr>
          </w:p>
        </w:tc>
        <w:tc>
          <w:tcPr>
            <w:tcW w:w="2610" w:type="dxa"/>
          </w:tcPr>
          <w:p w14:paraId="0F449623" w14:textId="77777777" w:rsidR="007A19AF" w:rsidRDefault="007A19AF">
            <w:pPr>
              <w:contextualSpacing/>
              <w:jc w:val="both"/>
              <w:rPr>
                <w:rFonts w:ascii="Arial" w:hAnsi="Arial" w:cs="Arial"/>
                <w:sz w:val="22"/>
                <w:szCs w:val="22"/>
              </w:rPr>
            </w:pPr>
          </w:p>
        </w:tc>
        <w:tc>
          <w:tcPr>
            <w:tcW w:w="2474" w:type="dxa"/>
          </w:tcPr>
          <w:p w14:paraId="5540858B" w14:textId="77777777" w:rsidR="007A19AF" w:rsidRDefault="007A19AF">
            <w:pPr>
              <w:contextualSpacing/>
              <w:jc w:val="both"/>
              <w:rPr>
                <w:rFonts w:ascii="Arial" w:hAnsi="Arial" w:cs="Arial"/>
                <w:sz w:val="22"/>
                <w:szCs w:val="22"/>
              </w:rPr>
            </w:pPr>
          </w:p>
        </w:tc>
        <w:tc>
          <w:tcPr>
            <w:tcW w:w="2472" w:type="dxa"/>
          </w:tcPr>
          <w:p w14:paraId="2750149E" w14:textId="77777777" w:rsidR="007A19AF" w:rsidRDefault="007A19AF">
            <w:pPr>
              <w:contextualSpacing/>
              <w:jc w:val="both"/>
              <w:rPr>
                <w:rFonts w:ascii="Arial" w:hAnsi="Arial" w:cs="Arial"/>
                <w:sz w:val="22"/>
                <w:szCs w:val="22"/>
              </w:rPr>
            </w:pPr>
          </w:p>
        </w:tc>
      </w:tr>
      <w:tr w:rsidR="007A19AF" w14:paraId="3CCC0383" w14:textId="77777777">
        <w:tc>
          <w:tcPr>
            <w:tcW w:w="1344" w:type="dxa"/>
          </w:tcPr>
          <w:p w14:paraId="486DFE58" w14:textId="77777777" w:rsidR="007A19AF" w:rsidRDefault="007A19AF">
            <w:pPr>
              <w:contextualSpacing/>
              <w:jc w:val="both"/>
              <w:rPr>
                <w:rFonts w:ascii="Arial" w:hAnsi="Arial" w:cs="Arial"/>
                <w:sz w:val="22"/>
                <w:szCs w:val="22"/>
              </w:rPr>
            </w:pPr>
          </w:p>
        </w:tc>
        <w:tc>
          <w:tcPr>
            <w:tcW w:w="2610" w:type="dxa"/>
          </w:tcPr>
          <w:p w14:paraId="3EC361DE" w14:textId="77777777" w:rsidR="007A19AF" w:rsidRDefault="007A19AF">
            <w:pPr>
              <w:contextualSpacing/>
              <w:jc w:val="both"/>
              <w:rPr>
                <w:rFonts w:ascii="Arial" w:hAnsi="Arial" w:cs="Arial"/>
                <w:sz w:val="22"/>
                <w:szCs w:val="22"/>
              </w:rPr>
            </w:pPr>
          </w:p>
        </w:tc>
        <w:tc>
          <w:tcPr>
            <w:tcW w:w="2474" w:type="dxa"/>
          </w:tcPr>
          <w:p w14:paraId="688E4AB4" w14:textId="77777777" w:rsidR="007A19AF" w:rsidRDefault="007A19AF">
            <w:pPr>
              <w:contextualSpacing/>
              <w:jc w:val="both"/>
              <w:rPr>
                <w:rFonts w:ascii="Arial" w:hAnsi="Arial" w:cs="Arial"/>
                <w:sz w:val="22"/>
                <w:szCs w:val="22"/>
              </w:rPr>
            </w:pPr>
          </w:p>
        </w:tc>
        <w:tc>
          <w:tcPr>
            <w:tcW w:w="2472" w:type="dxa"/>
          </w:tcPr>
          <w:p w14:paraId="35D4B90D" w14:textId="77777777" w:rsidR="007A19AF" w:rsidRDefault="007A19AF">
            <w:pPr>
              <w:contextualSpacing/>
              <w:jc w:val="both"/>
              <w:rPr>
                <w:rFonts w:ascii="Arial" w:hAnsi="Arial" w:cs="Arial"/>
                <w:sz w:val="22"/>
                <w:szCs w:val="22"/>
              </w:rPr>
            </w:pPr>
          </w:p>
        </w:tc>
      </w:tr>
      <w:tr w:rsidR="007A19AF" w14:paraId="5FE85CC6" w14:textId="77777777">
        <w:tc>
          <w:tcPr>
            <w:tcW w:w="1344" w:type="dxa"/>
          </w:tcPr>
          <w:p w14:paraId="79AF7F9E" w14:textId="77777777" w:rsidR="007A19AF" w:rsidRDefault="007A19AF">
            <w:pPr>
              <w:contextualSpacing/>
              <w:jc w:val="both"/>
              <w:rPr>
                <w:rFonts w:ascii="Arial" w:hAnsi="Arial" w:cs="Arial"/>
                <w:sz w:val="22"/>
                <w:szCs w:val="22"/>
              </w:rPr>
            </w:pPr>
          </w:p>
        </w:tc>
        <w:tc>
          <w:tcPr>
            <w:tcW w:w="2610" w:type="dxa"/>
          </w:tcPr>
          <w:p w14:paraId="5CBFD818" w14:textId="77777777" w:rsidR="007A19AF" w:rsidRDefault="007A19AF">
            <w:pPr>
              <w:contextualSpacing/>
              <w:jc w:val="both"/>
              <w:rPr>
                <w:rFonts w:ascii="Arial" w:hAnsi="Arial" w:cs="Arial"/>
                <w:sz w:val="22"/>
                <w:szCs w:val="22"/>
              </w:rPr>
            </w:pPr>
          </w:p>
        </w:tc>
        <w:tc>
          <w:tcPr>
            <w:tcW w:w="2474" w:type="dxa"/>
          </w:tcPr>
          <w:p w14:paraId="46D1E8C2" w14:textId="77777777" w:rsidR="007A19AF" w:rsidRDefault="007A19AF">
            <w:pPr>
              <w:contextualSpacing/>
              <w:jc w:val="both"/>
              <w:rPr>
                <w:rFonts w:ascii="Arial" w:hAnsi="Arial" w:cs="Arial"/>
                <w:sz w:val="22"/>
                <w:szCs w:val="22"/>
              </w:rPr>
            </w:pPr>
          </w:p>
        </w:tc>
        <w:tc>
          <w:tcPr>
            <w:tcW w:w="2472" w:type="dxa"/>
          </w:tcPr>
          <w:p w14:paraId="7DDB44B9" w14:textId="77777777" w:rsidR="007A19AF" w:rsidRDefault="007A19AF">
            <w:pPr>
              <w:contextualSpacing/>
              <w:jc w:val="both"/>
              <w:rPr>
                <w:rFonts w:ascii="Arial" w:hAnsi="Arial" w:cs="Arial"/>
                <w:sz w:val="22"/>
                <w:szCs w:val="22"/>
              </w:rPr>
            </w:pPr>
          </w:p>
        </w:tc>
      </w:tr>
      <w:tr w:rsidR="007A19AF" w14:paraId="1C332D81" w14:textId="77777777">
        <w:tc>
          <w:tcPr>
            <w:tcW w:w="1344" w:type="dxa"/>
          </w:tcPr>
          <w:p w14:paraId="703C0399" w14:textId="77777777" w:rsidR="007A19AF" w:rsidRDefault="007A19AF">
            <w:pPr>
              <w:contextualSpacing/>
              <w:jc w:val="both"/>
              <w:rPr>
                <w:rFonts w:ascii="Arial" w:hAnsi="Arial" w:cs="Arial"/>
                <w:sz w:val="22"/>
                <w:szCs w:val="22"/>
              </w:rPr>
            </w:pPr>
          </w:p>
        </w:tc>
        <w:tc>
          <w:tcPr>
            <w:tcW w:w="2610" w:type="dxa"/>
          </w:tcPr>
          <w:p w14:paraId="49630575" w14:textId="77777777" w:rsidR="007A19AF" w:rsidRDefault="007A19AF">
            <w:pPr>
              <w:contextualSpacing/>
              <w:jc w:val="both"/>
              <w:rPr>
                <w:rFonts w:ascii="Arial" w:hAnsi="Arial" w:cs="Arial"/>
                <w:sz w:val="22"/>
                <w:szCs w:val="22"/>
              </w:rPr>
            </w:pPr>
          </w:p>
        </w:tc>
        <w:tc>
          <w:tcPr>
            <w:tcW w:w="2474" w:type="dxa"/>
          </w:tcPr>
          <w:p w14:paraId="76D54386" w14:textId="77777777" w:rsidR="007A19AF" w:rsidRDefault="007A19AF">
            <w:pPr>
              <w:contextualSpacing/>
              <w:jc w:val="both"/>
              <w:rPr>
                <w:rFonts w:ascii="Arial" w:hAnsi="Arial" w:cs="Arial"/>
                <w:sz w:val="22"/>
                <w:szCs w:val="22"/>
              </w:rPr>
            </w:pPr>
          </w:p>
        </w:tc>
        <w:tc>
          <w:tcPr>
            <w:tcW w:w="2472" w:type="dxa"/>
          </w:tcPr>
          <w:p w14:paraId="6E8C6CB4" w14:textId="77777777" w:rsidR="007A19AF" w:rsidRDefault="007A19AF">
            <w:pPr>
              <w:contextualSpacing/>
              <w:jc w:val="both"/>
              <w:rPr>
                <w:rFonts w:ascii="Arial" w:hAnsi="Arial" w:cs="Arial"/>
                <w:sz w:val="22"/>
                <w:szCs w:val="22"/>
              </w:rPr>
            </w:pPr>
          </w:p>
        </w:tc>
      </w:tr>
      <w:tr w:rsidR="007A19AF" w14:paraId="7179A3FA" w14:textId="77777777">
        <w:tc>
          <w:tcPr>
            <w:tcW w:w="1344" w:type="dxa"/>
          </w:tcPr>
          <w:p w14:paraId="726567EE" w14:textId="77777777" w:rsidR="007A19AF" w:rsidRDefault="007A19AF">
            <w:pPr>
              <w:contextualSpacing/>
              <w:jc w:val="both"/>
              <w:rPr>
                <w:rFonts w:ascii="Arial" w:hAnsi="Arial" w:cs="Arial"/>
                <w:sz w:val="22"/>
                <w:szCs w:val="22"/>
              </w:rPr>
            </w:pPr>
          </w:p>
        </w:tc>
        <w:tc>
          <w:tcPr>
            <w:tcW w:w="2610" w:type="dxa"/>
          </w:tcPr>
          <w:p w14:paraId="37510CE6" w14:textId="77777777" w:rsidR="007A19AF" w:rsidRDefault="007A19AF">
            <w:pPr>
              <w:contextualSpacing/>
              <w:jc w:val="both"/>
              <w:rPr>
                <w:rFonts w:ascii="Arial" w:hAnsi="Arial" w:cs="Arial"/>
                <w:sz w:val="22"/>
                <w:szCs w:val="22"/>
              </w:rPr>
            </w:pPr>
          </w:p>
        </w:tc>
        <w:tc>
          <w:tcPr>
            <w:tcW w:w="2474" w:type="dxa"/>
          </w:tcPr>
          <w:p w14:paraId="3B689BB6" w14:textId="77777777" w:rsidR="007A19AF" w:rsidRDefault="007A19AF">
            <w:pPr>
              <w:contextualSpacing/>
              <w:jc w:val="both"/>
              <w:rPr>
                <w:rFonts w:ascii="Arial" w:hAnsi="Arial" w:cs="Arial"/>
                <w:sz w:val="22"/>
                <w:szCs w:val="22"/>
              </w:rPr>
            </w:pPr>
          </w:p>
        </w:tc>
        <w:tc>
          <w:tcPr>
            <w:tcW w:w="2472" w:type="dxa"/>
          </w:tcPr>
          <w:p w14:paraId="372A6BE3" w14:textId="77777777" w:rsidR="007A19AF" w:rsidRDefault="007A19AF">
            <w:pPr>
              <w:contextualSpacing/>
              <w:jc w:val="both"/>
              <w:rPr>
                <w:rFonts w:ascii="Arial" w:hAnsi="Arial" w:cs="Arial"/>
                <w:sz w:val="22"/>
                <w:szCs w:val="22"/>
              </w:rPr>
            </w:pPr>
          </w:p>
        </w:tc>
      </w:tr>
      <w:tr w:rsidR="007A19AF" w14:paraId="341AE7A8" w14:textId="77777777">
        <w:tc>
          <w:tcPr>
            <w:tcW w:w="1344" w:type="dxa"/>
          </w:tcPr>
          <w:p w14:paraId="629496B8" w14:textId="77777777" w:rsidR="007A19AF" w:rsidRDefault="007A19AF">
            <w:pPr>
              <w:contextualSpacing/>
              <w:jc w:val="both"/>
              <w:rPr>
                <w:rFonts w:ascii="Arial" w:hAnsi="Arial" w:cs="Arial"/>
                <w:sz w:val="22"/>
                <w:szCs w:val="22"/>
              </w:rPr>
            </w:pPr>
          </w:p>
        </w:tc>
        <w:tc>
          <w:tcPr>
            <w:tcW w:w="2610" w:type="dxa"/>
          </w:tcPr>
          <w:p w14:paraId="7966F612" w14:textId="77777777" w:rsidR="007A19AF" w:rsidRDefault="007A19AF">
            <w:pPr>
              <w:contextualSpacing/>
              <w:jc w:val="both"/>
              <w:rPr>
                <w:rFonts w:ascii="Arial" w:hAnsi="Arial" w:cs="Arial"/>
                <w:sz w:val="22"/>
                <w:szCs w:val="22"/>
              </w:rPr>
            </w:pPr>
          </w:p>
        </w:tc>
        <w:tc>
          <w:tcPr>
            <w:tcW w:w="2474" w:type="dxa"/>
          </w:tcPr>
          <w:p w14:paraId="7DFAF996" w14:textId="77777777" w:rsidR="007A19AF" w:rsidRDefault="007A19AF">
            <w:pPr>
              <w:contextualSpacing/>
              <w:jc w:val="both"/>
              <w:rPr>
                <w:rFonts w:ascii="Arial" w:hAnsi="Arial" w:cs="Arial"/>
                <w:sz w:val="22"/>
                <w:szCs w:val="22"/>
              </w:rPr>
            </w:pPr>
          </w:p>
        </w:tc>
        <w:tc>
          <w:tcPr>
            <w:tcW w:w="2472" w:type="dxa"/>
          </w:tcPr>
          <w:p w14:paraId="2045E2CF" w14:textId="77777777" w:rsidR="007A19AF" w:rsidRDefault="007A19AF">
            <w:pPr>
              <w:contextualSpacing/>
              <w:jc w:val="both"/>
              <w:rPr>
                <w:rFonts w:ascii="Arial" w:hAnsi="Arial" w:cs="Arial"/>
                <w:sz w:val="22"/>
                <w:szCs w:val="22"/>
              </w:rPr>
            </w:pPr>
          </w:p>
        </w:tc>
      </w:tr>
      <w:tr w:rsidR="007A19AF" w14:paraId="1B5738F9" w14:textId="77777777">
        <w:tc>
          <w:tcPr>
            <w:tcW w:w="1344" w:type="dxa"/>
          </w:tcPr>
          <w:p w14:paraId="0735E450" w14:textId="77777777" w:rsidR="007A19AF" w:rsidRDefault="007A19AF">
            <w:pPr>
              <w:contextualSpacing/>
              <w:jc w:val="both"/>
              <w:rPr>
                <w:rFonts w:ascii="Arial" w:hAnsi="Arial" w:cs="Arial"/>
                <w:sz w:val="22"/>
                <w:szCs w:val="22"/>
              </w:rPr>
            </w:pPr>
          </w:p>
        </w:tc>
        <w:tc>
          <w:tcPr>
            <w:tcW w:w="2610" w:type="dxa"/>
          </w:tcPr>
          <w:p w14:paraId="39848118" w14:textId="77777777" w:rsidR="007A19AF" w:rsidRDefault="007A19AF">
            <w:pPr>
              <w:contextualSpacing/>
              <w:jc w:val="both"/>
              <w:rPr>
                <w:rFonts w:ascii="Arial" w:hAnsi="Arial" w:cs="Arial"/>
                <w:sz w:val="22"/>
                <w:szCs w:val="22"/>
              </w:rPr>
            </w:pPr>
          </w:p>
        </w:tc>
        <w:tc>
          <w:tcPr>
            <w:tcW w:w="2474" w:type="dxa"/>
          </w:tcPr>
          <w:p w14:paraId="2B5939C1" w14:textId="77777777" w:rsidR="007A19AF" w:rsidRDefault="007A19AF">
            <w:pPr>
              <w:contextualSpacing/>
              <w:jc w:val="both"/>
              <w:rPr>
                <w:rFonts w:ascii="Arial" w:hAnsi="Arial" w:cs="Arial"/>
                <w:sz w:val="22"/>
                <w:szCs w:val="22"/>
              </w:rPr>
            </w:pPr>
          </w:p>
        </w:tc>
        <w:tc>
          <w:tcPr>
            <w:tcW w:w="2472" w:type="dxa"/>
          </w:tcPr>
          <w:p w14:paraId="19097842" w14:textId="77777777" w:rsidR="007A19AF" w:rsidRDefault="007A19AF">
            <w:pPr>
              <w:contextualSpacing/>
              <w:jc w:val="both"/>
              <w:rPr>
                <w:rFonts w:ascii="Arial" w:hAnsi="Arial" w:cs="Arial"/>
                <w:sz w:val="22"/>
                <w:szCs w:val="22"/>
              </w:rPr>
            </w:pPr>
          </w:p>
        </w:tc>
      </w:tr>
      <w:tr w:rsidR="007A19AF" w14:paraId="537F4483" w14:textId="77777777">
        <w:tc>
          <w:tcPr>
            <w:tcW w:w="1344" w:type="dxa"/>
          </w:tcPr>
          <w:p w14:paraId="7C315662" w14:textId="77777777" w:rsidR="007A19AF" w:rsidRDefault="007A19AF">
            <w:pPr>
              <w:contextualSpacing/>
              <w:jc w:val="both"/>
              <w:rPr>
                <w:rFonts w:ascii="Arial" w:hAnsi="Arial" w:cs="Arial"/>
                <w:sz w:val="22"/>
                <w:szCs w:val="22"/>
              </w:rPr>
            </w:pPr>
          </w:p>
        </w:tc>
        <w:tc>
          <w:tcPr>
            <w:tcW w:w="2610" w:type="dxa"/>
          </w:tcPr>
          <w:p w14:paraId="0BCBFB12" w14:textId="77777777" w:rsidR="007A19AF" w:rsidRDefault="007A19AF">
            <w:pPr>
              <w:contextualSpacing/>
              <w:jc w:val="both"/>
              <w:rPr>
                <w:rFonts w:ascii="Arial" w:hAnsi="Arial" w:cs="Arial"/>
                <w:sz w:val="22"/>
                <w:szCs w:val="22"/>
              </w:rPr>
            </w:pPr>
          </w:p>
        </w:tc>
        <w:tc>
          <w:tcPr>
            <w:tcW w:w="2474" w:type="dxa"/>
          </w:tcPr>
          <w:p w14:paraId="2B6B929E" w14:textId="77777777" w:rsidR="007A19AF" w:rsidRDefault="007A19AF">
            <w:pPr>
              <w:contextualSpacing/>
              <w:jc w:val="both"/>
              <w:rPr>
                <w:rFonts w:ascii="Arial" w:hAnsi="Arial" w:cs="Arial"/>
                <w:sz w:val="22"/>
                <w:szCs w:val="22"/>
              </w:rPr>
            </w:pPr>
          </w:p>
        </w:tc>
        <w:tc>
          <w:tcPr>
            <w:tcW w:w="2472" w:type="dxa"/>
          </w:tcPr>
          <w:p w14:paraId="58E49043" w14:textId="77777777" w:rsidR="007A19AF" w:rsidRDefault="007A19AF">
            <w:pPr>
              <w:contextualSpacing/>
              <w:jc w:val="both"/>
              <w:rPr>
                <w:rFonts w:ascii="Arial" w:hAnsi="Arial" w:cs="Arial"/>
                <w:sz w:val="22"/>
                <w:szCs w:val="22"/>
              </w:rPr>
            </w:pPr>
          </w:p>
        </w:tc>
      </w:tr>
      <w:tr w:rsidR="007A19AF" w14:paraId="60CA0531" w14:textId="77777777">
        <w:tc>
          <w:tcPr>
            <w:tcW w:w="1344" w:type="dxa"/>
          </w:tcPr>
          <w:p w14:paraId="54743E30" w14:textId="77777777" w:rsidR="007A19AF" w:rsidRDefault="007A19AF">
            <w:pPr>
              <w:contextualSpacing/>
              <w:jc w:val="both"/>
              <w:rPr>
                <w:rFonts w:ascii="Arial" w:hAnsi="Arial" w:cs="Arial"/>
                <w:sz w:val="22"/>
                <w:szCs w:val="22"/>
              </w:rPr>
            </w:pPr>
          </w:p>
        </w:tc>
        <w:tc>
          <w:tcPr>
            <w:tcW w:w="2610" w:type="dxa"/>
          </w:tcPr>
          <w:p w14:paraId="0A82A729" w14:textId="77777777" w:rsidR="007A19AF" w:rsidRDefault="007A19AF">
            <w:pPr>
              <w:contextualSpacing/>
              <w:jc w:val="both"/>
              <w:rPr>
                <w:rFonts w:ascii="Arial" w:hAnsi="Arial" w:cs="Arial"/>
                <w:sz w:val="22"/>
                <w:szCs w:val="22"/>
              </w:rPr>
            </w:pPr>
          </w:p>
        </w:tc>
        <w:tc>
          <w:tcPr>
            <w:tcW w:w="2474" w:type="dxa"/>
          </w:tcPr>
          <w:p w14:paraId="51537CB3" w14:textId="77777777" w:rsidR="007A19AF" w:rsidRDefault="007A19AF">
            <w:pPr>
              <w:contextualSpacing/>
              <w:jc w:val="both"/>
              <w:rPr>
                <w:rFonts w:ascii="Arial" w:hAnsi="Arial" w:cs="Arial"/>
                <w:sz w:val="22"/>
                <w:szCs w:val="22"/>
              </w:rPr>
            </w:pPr>
          </w:p>
        </w:tc>
        <w:tc>
          <w:tcPr>
            <w:tcW w:w="2472" w:type="dxa"/>
          </w:tcPr>
          <w:p w14:paraId="0AE3D0B2" w14:textId="77777777" w:rsidR="007A19AF" w:rsidRDefault="007A19AF">
            <w:pPr>
              <w:contextualSpacing/>
              <w:jc w:val="both"/>
              <w:rPr>
                <w:rFonts w:ascii="Arial" w:hAnsi="Arial" w:cs="Arial"/>
                <w:sz w:val="22"/>
                <w:szCs w:val="22"/>
              </w:rPr>
            </w:pPr>
          </w:p>
        </w:tc>
      </w:tr>
      <w:tr w:rsidR="007A19AF" w14:paraId="1961270C" w14:textId="77777777">
        <w:tc>
          <w:tcPr>
            <w:tcW w:w="1344" w:type="dxa"/>
          </w:tcPr>
          <w:p w14:paraId="41362269" w14:textId="77777777" w:rsidR="007A19AF" w:rsidRDefault="007A19AF">
            <w:pPr>
              <w:contextualSpacing/>
              <w:jc w:val="both"/>
              <w:rPr>
                <w:rFonts w:ascii="Arial" w:hAnsi="Arial" w:cs="Arial"/>
                <w:sz w:val="22"/>
                <w:szCs w:val="22"/>
              </w:rPr>
            </w:pPr>
          </w:p>
        </w:tc>
        <w:tc>
          <w:tcPr>
            <w:tcW w:w="2610" w:type="dxa"/>
          </w:tcPr>
          <w:p w14:paraId="54D2E86A" w14:textId="77777777" w:rsidR="007A19AF" w:rsidRDefault="007A19AF">
            <w:pPr>
              <w:contextualSpacing/>
              <w:jc w:val="both"/>
              <w:rPr>
                <w:rFonts w:ascii="Arial" w:hAnsi="Arial" w:cs="Arial"/>
                <w:sz w:val="22"/>
                <w:szCs w:val="22"/>
              </w:rPr>
            </w:pPr>
          </w:p>
        </w:tc>
        <w:tc>
          <w:tcPr>
            <w:tcW w:w="2474" w:type="dxa"/>
          </w:tcPr>
          <w:p w14:paraId="3A2B1548" w14:textId="77777777" w:rsidR="007A19AF" w:rsidRDefault="007A19AF">
            <w:pPr>
              <w:contextualSpacing/>
              <w:jc w:val="both"/>
              <w:rPr>
                <w:rFonts w:ascii="Arial" w:hAnsi="Arial" w:cs="Arial"/>
                <w:sz w:val="22"/>
                <w:szCs w:val="22"/>
              </w:rPr>
            </w:pPr>
          </w:p>
        </w:tc>
        <w:tc>
          <w:tcPr>
            <w:tcW w:w="2472" w:type="dxa"/>
          </w:tcPr>
          <w:p w14:paraId="21DC3EC7" w14:textId="77777777" w:rsidR="007A19AF" w:rsidRDefault="007A19AF">
            <w:pPr>
              <w:contextualSpacing/>
              <w:jc w:val="both"/>
              <w:rPr>
                <w:rFonts w:ascii="Arial" w:hAnsi="Arial" w:cs="Arial"/>
                <w:sz w:val="22"/>
                <w:szCs w:val="22"/>
              </w:rPr>
            </w:pPr>
          </w:p>
        </w:tc>
      </w:tr>
      <w:tr w:rsidR="007A19AF" w14:paraId="1725A855" w14:textId="77777777">
        <w:tc>
          <w:tcPr>
            <w:tcW w:w="1344" w:type="dxa"/>
          </w:tcPr>
          <w:p w14:paraId="3F23A72A" w14:textId="77777777" w:rsidR="007A19AF" w:rsidRDefault="007A19AF">
            <w:pPr>
              <w:contextualSpacing/>
              <w:jc w:val="both"/>
              <w:rPr>
                <w:rFonts w:ascii="Arial" w:hAnsi="Arial" w:cs="Arial"/>
                <w:sz w:val="22"/>
                <w:szCs w:val="22"/>
              </w:rPr>
            </w:pPr>
          </w:p>
        </w:tc>
        <w:tc>
          <w:tcPr>
            <w:tcW w:w="2610" w:type="dxa"/>
          </w:tcPr>
          <w:p w14:paraId="55D0CBC0" w14:textId="77777777" w:rsidR="007A19AF" w:rsidRDefault="007A19AF">
            <w:pPr>
              <w:contextualSpacing/>
              <w:jc w:val="both"/>
              <w:rPr>
                <w:rFonts w:ascii="Arial" w:hAnsi="Arial" w:cs="Arial"/>
                <w:sz w:val="22"/>
                <w:szCs w:val="22"/>
              </w:rPr>
            </w:pPr>
          </w:p>
        </w:tc>
        <w:tc>
          <w:tcPr>
            <w:tcW w:w="2474" w:type="dxa"/>
          </w:tcPr>
          <w:p w14:paraId="46256841" w14:textId="77777777" w:rsidR="007A19AF" w:rsidRDefault="007A19AF">
            <w:pPr>
              <w:contextualSpacing/>
              <w:jc w:val="both"/>
              <w:rPr>
                <w:rFonts w:ascii="Arial" w:hAnsi="Arial" w:cs="Arial"/>
                <w:sz w:val="22"/>
                <w:szCs w:val="22"/>
              </w:rPr>
            </w:pPr>
          </w:p>
        </w:tc>
        <w:tc>
          <w:tcPr>
            <w:tcW w:w="2472" w:type="dxa"/>
          </w:tcPr>
          <w:p w14:paraId="241D67D9" w14:textId="77777777" w:rsidR="007A19AF" w:rsidRDefault="007A19AF">
            <w:pPr>
              <w:contextualSpacing/>
              <w:jc w:val="both"/>
              <w:rPr>
                <w:rFonts w:ascii="Arial" w:hAnsi="Arial" w:cs="Arial"/>
                <w:sz w:val="22"/>
                <w:szCs w:val="22"/>
              </w:rPr>
            </w:pPr>
          </w:p>
        </w:tc>
      </w:tr>
      <w:tr w:rsidR="007A19AF" w14:paraId="7097ABDF" w14:textId="77777777">
        <w:tc>
          <w:tcPr>
            <w:tcW w:w="1344" w:type="dxa"/>
          </w:tcPr>
          <w:p w14:paraId="1AB776B5" w14:textId="77777777" w:rsidR="007A19AF" w:rsidRDefault="007A19AF">
            <w:pPr>
              <w:contextualSpacing/>
              <w:jc w:val="both"/>
              <w:rPr>
                <w:rFonts w:ascii="Arial" w:hAnsi="Arial" w:cs="Arial"/>
                <w:sz w:val="22"/>
                <w:szCs w:val="22"/>
              </w:rPr>
            </w:pPr>
          </w:p>
        </w:tc>
        <w:tc>
          <w:tcPr>
            <w:tcW w:w="2610" w:type="dxa"/>
          </w:tcPr>
          <w:p w14:paraId="0B51CF94" w14:textId="77777777" w:rsidR="007A19AF" w:rsidRDefault="007A19AF">
            <w:pPr>
              <w:contextualSpacing/>
              <w:jc w:val="both"/>
              <w:rPr>
                <w:rFonts w:ascii="Arial" w:hAnsi="Arial" w:cs="Arial"/>
                <w:sz w:val="22"/>
                <w:szCs w:val="22"/>
              </w:rPr>
            </w:pPr>
          </w:p>
        </w:tc>
        <w:tc>
          <w:tcPr>
            <w:tcW w:w="2474" w:type="dxa"/>
          </w:tcPr>
          <w:p w14:paraId="5C9521BA" w14:textId="77777777" w:rsidR="007A19AF" w:rsidRDefault="007A19AF">
            <w:pPr>
              <w:contextualSpacing/>
              <w:jc w:val="both"/>
              <w:rPr>
                <w:rFonts w:ascii="Arial" w:hAnsi="Arial" w:cs="Arial"/>
                <w:sz w:val="22"/>
                <w:szCs w:val="22"/>
              </w:rPr>
            </w:pPr>
          </w:p>
        </w:tc>
        <w:tc>
          <w:tcPr>
            <w:tcW w:w="2472" w:type="dxa"/>
          </w:tcPr>
          <w:p w14:paraId="603BC8EA" w14:textId="77777777" w:rsidR="007A19AF" w:rsidRDefault="007A19AF">
            <w:pPr>
              <w:contextualSpacing/>
              <w:jc w:val="both"/>
              <w:rPr>
                <w:rFonts w:ascii="Arial" w:hAnsi="Arial" w:cs="Arial"/>
                <w:sz w:val="22"/>
                <w:szCs w:val="22"/>
              </w:rPr>
            </w:pPr>
          </w:p>
        </w:tc>
      </w:tr>
      <w:tr w:rsidR="007A19AF" w14:paraId="476F8EBA" w14:textId="77777777">
        <w:tc>
          <w:tcPr>
            <w:tcW w:w="1344" w:type="dxa"/>
          </w:tcPr>
          <w:p w14:paraId="05A97550" w14:textId="77777777" w:rsidR="007A19AF" w:rsidRDefault="007A19AF">
            <w:pPr>
              <w:contextualSpacing/>
              <w:jc w:val="both"/>
              <w:rPr>
                <w:rFonts w:ascii="Arial" w:hAnsi="Arial" w:cs="Arial"/>
                <w:sz w:val="22"/>
                <w:szCs w:val="22"/>
              </w:rPr>
            </w:pPr>
          </w:p>
        </w:tc>
        <w:tc>
          <w:tcPr>
            <w:tcW w:w="2610" w:type="dxa"/>
          </w:tcPr>
          <w:p w14:paraId="510635BC" w14:textId="77777777" w:rsidR="007A19AF" w:rsidRDefault="007A19AF">
            <w:pPr>
              <w:contextualSpacing/>
              <w:jc w:val="both"/>
              <w:rPr>
                <w:rFonts w:ascii="Arial" w:hAnsi="Arial" w:cs="Arial"/>
                <w:sz w:val="22"/>
                <w:szCs w:val="22"/>
              </w:rPr>
            </w:pPr>
          </w:p>
        </w:tc>
        <w:tc>
          <w:tcPr>
            <w:tcW w:w="2474" w:type="dxa"/>
          </w:tcPr>
          <w:p w14:paraId="7648458F" w14:textId="77777777" w:rsidR="007A19AF" w:rsidRDefault="007A19AF">
            <w:pPr>
              <w:contextualSpacing/>
              <w:jc w:val="both"/>
              <w:rPr>
                <w:rFonts w:ascii="Arial" w:hAnsi="Arial" w:cs="Arial"/>
                <w:sz w:val="22"/>
                <w:szCs w:val="22"/>
              </w:rPr>
            </w:pPr>
          </w:p>
        </w:tc>
        <w:tc>
          <w:tcPr>
            <w:tcW w:w="2472" w:type="dxa"/>
          </w:tcPr>
          <w:p w14:paraId="4DA17E1A" w14:textId="77777777" w:rsidR="007A19AF" w:rsidRDefault="007A19AF">
            <w:pPr>
              <w:contextualSpacing/>
              <w:jc w:val="both"/>
              <w:rPr>
                <w:rFonts w:ascii="Arial" w:hAnsi="Arial" w:cs="Arial"/>
                <w:sz w:val="22"/>
                <w:szCs w:val="22"/>
              </w:rPr>
            </w:pPr>
          </w:p>
        </w:tc>
      </w:tr>
      <w:tr w:rsidR="007A19AF" w14:paraId="286EE3CD" w14:textId="77777777">
        <w:tc>
          <w:tcPr>
            <w:tcW w:w="1344" w:type="dxa"/>
          </w:tcPr>
          <w:p w14:paraId="1DC342E6" w14:textId="77777777" w:rsidR="007A19AF" w:rsidRDefault="007A19AF">
            <w:pPr>
              <w:contextualSpacing/>
              <w:jc w:val="both"/>
              <w:rPr>
                <w:rFonts w:ascii="Arial" w:hAnsi="Arial" w:cs="Arial"/>
                <w:sz w:val="22"/>
                <w:szCs w:val="22"/>
              </w:rPr>
            </w:pPr>
          </w:p>
        </w:tc>
        <w:tc>
          <w:tcPr>
            <w:tcW w:w="2610" w:type="dxa"/>
          </w:tcPr>
          <w:p w14:paraId="66EA3669" w14:textId="77777777" w:rsidR="007A19AF" w:rsidRDefault="007A19AF">
            <w:pPr>
              <w:contextualSpacing/>
              <w:jc w:val="both"/>
              <w:rPr>
                <w:rFonts w:ascii="Arial" w:hAnsi="Arial" w:cs="Arial"/>
                <w:sz w:val="22"/>
                <w:szCs w:val="22"/>
              </w:rPr>
            </w:pPr>
          </w:p>
        </w:tc>
        <w:tc>
          <w:tcPr>
            <w:tcW w:w="2474" w:type="dxa"/>
          </w:tcPr>
          <w:p w14:paraId="42365793" w14:textId="77777777" w:rsidR="007A19AF" w:rsidRDefault="007A19AF">
            <w:pPr>
              <w:contextualSpacing/>
              <w:jc w:val="both"/>
              <w:rPr>
                <w:rFonts w:ascii="Arial" w:hAnsi="Arial" w:cs="Arial"/>
                <w:sz w:val="22"/>
                <w:szCs w:val="22"/>
              </w:rPr>
            </w:pPr>
          </w:p>
        </w:tc>
        <w:tc>
          <w:tcPr>
            <w:tcW w:w="2472" w:type="dxa"/>
          </w:tcPr>
          <w:p w14:paraId="39CA7ECA" w14:textId="77777777" w:rsidR="007A19AF" w:rsidRDefault="007A19AF">
            <w:pPr>
              <w:contextualSpacing/>
              <w:jc w:val="both"/>
              <w:rPr>
                <w:rFonts w:ascii="Arial" w:hAnsi="Arial" w:cs="Arial"/>
                <w:sz w:val="22"/>
                <w:szCs w:val="22"/>
              </w:rPr>
            </w:pPr>
          </w:p>
        </w:tc>
      </w:tr>
      <w:tr w:rsidR="007A19AF" w14:paraId="22830F8E" w14:textId="77777777">
        <w:tc>
          <w:tcPr>
            <w:tcW w:w="1344" w:type="dxa"/>
          </w:tcPr>
          <w:p w14:paraId="4125EFD6" w14:textId="77777777" w:rsidR="007A19AF" w:rsidRDefault="007A19AF">
            <w:pPr>
              <w:contextualSpacing/>
              <w:jc w:val="both"/>
              <w:rPr>
                <w:rFonts w:ascii="Arial" w:hAnsi="Arial" w:cs="Arial"/>
                <w:sz w:val="22"/>
                <w:szCs w:val="22"/>
              </w:rPr>
            </w:pPr>
          </w:p>
        </w:tc>
        <w:tc>
          <w:tcPr>
            <w:tcW w:w="2610" w:type="dxa"/>
          </w:tcPr>
          <w:p w14:paraId="676EBFB4" w14:textId="77777777" w:rsidR="007A19AF" w:rsidRDefault="007A19AF">
            <w:pPr>
              <w:contextualSpacing/>
              <w:jc w:val="both"/>
              <w:rPr>
                <w:rFonts w:ascii="Arial" w:hAnsi="Arial" w:cs="Arial"/>
                <w:sz w:val="22"/>
                <w:szCs w:val="22"/>
              </w:rPr>
            </w:pPr>
          </w:p>
        </w:tc>
        <w:tc>
          <w:tcPr>
            <w:tcW w:w="2474" w:type="dxa"/>
          </w:tcPr>
          <w:p w14:paraId="1EBD49DD" w14:textId="77777777" w:rsidR="007A19AF" w:rsidRDefault="007A19AF">
            <w:pPr>
              <w:contextualSpacing/>
              <w:jc w:val="both"/>
              <w:rPr>
                <w:rFonts w:ascii="Arial" w:hAnsi="Arial" w:cs="Arial"/>
                <w:sz w:val="22"/>
                <w:szCs w:val="22"/>
              </w:rPr>
            </w:pPr>
          </w:p>
        </w:tc>
        <w:tc>
          <w:tcPr>
            <w:tcW w:w="2472" w:type="dxa"/>
          </w:tcPr>
          <w:p w14:paraId="5EC76538" w14:textId="77777777" w:rsidR="007A19AF" w:rsidRDefault="007A19AF">
            <w:pPr>
              <w:contextualSpacing/>
              <w:jc w:val="both"/>
              <w:rPr>
                <w:rFonts w:ascii="Arial" w:hAnsi="Arial" w:cs="Arial"/>
                <w:sz w:val="22"/>
                <w:szCs w:val="22"/>
              </w:rPr>
            </w:pPr>
          </w:p>
        </w:tc>
      </w:tr>
      <w:tr w:rsidR="007A19AF" w14:paraId="25BCCF1A" w14:textId="77777777">
        <w:tc>
          <w:tcPr>
            <w:tcW w:w="1344" w:type="dxa"/>
          </w:tcPr>
          <w:p w14:paraId="18F877E1" w14:textId="77777777" w:rsidR="007A19AF" w:rsidRDefault="007A19AF">
            <w:pPr>
              <w:contextualSpacing/>
              <w:jc w:val="both"/>
              <w:rPr>
                <w:rFonts w:ascii="Arial" w:hAnsi="Arial" w:cs="Arial"/>
                <w:sz w:val="22"/>
                <w:szCs w:val="22"/>
              </w:rPr>
            </w:pPr>
          </w:p>
        </w:tc>
        <w:tc>
          <w:tcPr>
            <w:tcW w:w="2610" w:type="dxa"/>
          </w:tcPr>
          <w:p w14:paraId="0F1BBC8C" w14:textId="77777777" w:rsidR="007A19AF" w:rsidRDefault="007A19AF">
            <w:pPr>
              <w:contextualSpacing/>
              <w:jc w:val="both"/>
              <w:rPr>
                <w:rFonts w:ascii="Arial" w:hAnsi="Arial" w:cs="Arial"/>
                <w:sz w:val="22"/>
                <w:szCs w:val="22"/>
              </w:rPr>
            </w:pPr>
          </w:p>
        </w:tc>
        <w:tc>
          <w:tcPr>
            <w:tcW w:w="2474" w:type="dxa"/>
          </w:tcPr>
          <w:p w14:paraId="361CF71D" w14:textId="77777777" w:rsidR="007A19AF" w:rsidRDefault="007A19AF">
            <w:pPr>
              <w:contextualSpacing/>
              <w:jc w:val="both"/>
              <w:rPr>
                <w:rFonts w:ascii="Arial" w:hAnsi="Arial" w:cs="Arial"/>
                <w:sz w:val="22"/>
                <w:szCs w:val="22"/>
              </w:rPr>
            </w:pPr>
          </w:p>
        </w:tc>
        <w:tc>
          <w:tcPr>
            <w:tcW w:w="2472" w:type="dxa"/>
          </w:tcPr>
          <w:p w14:paraId="1040EC7A" w14:textId="77777777" w:rsidR="007A19AF" w:rsidRDefault="007A19AF">
            <w:pPr>
              <w:contextualSpacing/>
              <w:jc w:val="both"/>
              <w:rPr>
                <w:rFonts w:ascii="Arial" w:hAnsi="Arial" w:cs="Arial"/>
                <w:sz w:val="22"/>
                <w:szCs w:val="22"/>
              </w:rPr>
            </w:pPr>
          </w:p>
        </w:tc>
      </w:tr>
      <w:tr w:rsidR="007A19AF" w14:paraId="10EF34C5" w14:textId="77777777">
        <w:tc>
          <w:tcPr>
            <w:tcW w:w="1344" w:type="dxa"/>
          </w:tcPr>
          <w:p w14:paraId="5761D68F" w14:textId="77777777" w:rsidR="007A19AF" w:rsidRDefault="007A19AF">
            <w:pPr>
              <w:contextualSpacing/>
              <w:jc w:val="both"/>
              <w:rPr>
                <w:rFonts w:ascii="Arial" w:hAnsi="Arial" w:cs="Arial"/>
                <w:sz w:val="22"/>
                <w:szCs w:val="22"/>
              </w:rPr>
            </w:pPr>
          </w:p>
        </w:tc>
        <w:tc>
          <w:tcPr>
            <w:tcW w:w="2610" w:type="dxa"/>
          </w:tcPr>
          <w:p w14:paraId="5F711C0A" w14:textId="77777777" w:rsidR="007A19AF" w:rsidRDefault="007A19AF">
            <w:pPr>
              <w:contextualSpacing/>
              <w:jc w:val="both"/>
              <w:rPr>
                <w:rFonts w:ascii="Arial" w:hAnsi="Arial" w:cs="Arial"/>
                <w:sz w:val="22"/>
                <w:szCs w:val="22"/>
              </w:rPr>
            </w:pPr>
          </w:p>
        </w:tc>
        <w:tc>
          <w:tcPr>
            <w:tcW w:w="2474" w:type="dxa"/>
          </w:tcPr>
          <w:p w14:paraId="114DA1A6" w14:textId="77777777" w:rsidR="007A19AF" w:rsidRDefault="007A19AF">
            <w:pPr>
              <w:contextualSpacing/>
              <w:jc w:val="both"/>
              <w:rPr>
                <w:rFonts w:ascii="Arial" w:hAnsi="Arial" w:cs="Arial"/>
                <w:sz w:val="22"/>
                <w:szCs w:val="22"/>
              </w:rPr>
            </w:pPr>
          </w:p>
        </w:tc>
        <w:tc>
          <w:tcPr>
            <w:tcW w:w="2472" w:type="dxa"/>
          </w:tcPr>
          <w:p w14:paraId="6A3F1400" w14:textId="77777777" w:rsidR="007A19AF" w:rsidRDefault="007A19AF">
            <w:pPr>
              <w:contextualSpacing/>
              <w:jc w:val="both"/>
              <w:rPr>
                <w:rFonts w:ascii="Arial" w:hAnsi="Arial" w:cs="Arial"/>
                <w:sz w:val="22"/>
                <w:szCs w:val="22"/>
              </w:rPr>
            </w:pPr>
          </w:p>
        </w:tc>
      </w:tr>
      <w:tr w:rsidR="007A19AF" w14:paraId="0E08322A" w14:textId="77777777">
        <w:tc>
          <w:tcPr>
            <w:tcW w:w="1344" w:type="dxa"/>
          </w:tcPr>
          <w:p w14:paraId="43C82B34" w14:textId="77777777" w:rsidR="007A19AF" w:rsidRDefault="007A19AF">
            <w:pPr>
              <w:contextualSpacing/>
              <w:jc w:val="both"/>
              <w:rPr>
                <w:rFonts w:ascii="Arial" w:hAnsi="Arial" w:cs="Arial"/>
                <w:sz w:val="22"/>
                <w:szCs w:val="22"/>
              </w:rPr>
            </w:pPr>
          </w:p>
        </w:tc>
        <w:tc>
          <w:tcPr>
            <w:tcW w:w="2610" w:type="dxa"/>
          </w:tcPr>
          <w:p w14:paraId="712E4839" w14:textId="77777777" w:rsidR="007A19AF" w:rsidRDefault="007A19AF">
            <w:pPr>
              <w:contextualSpacing/>
              <w:jc w:val="both"/>
              <w:rPr>
                <w:rFonts w:ascii="Arial" w:hAnsi="Arial" w:cs="Arial"/>
                <w:sz w:val="22"/>
                <w:szCs w:val="22"/>
              </w:rPr>
            </w:pPr>
          </w:p>
        </w:tc>
        <w:tc>
          <w:tcPr>
            <w:tcW w:w="2474" w:type="dxa"/>
          </w:tcPr>
          <w:p w14:paraId="1795A6D9" w14:textId="77777777" w:rsidR="007A19AF" w:rsidRDefault="007A19AF">
            <w:pPr>
              <w:contextualSpacing/>
              <w:jc w:val="both"/>
              <w:rPr>
                <w:rFonts w:ascii="Arial" w:hAnsi="Arial" w:cs="Arial"/>
                <w:sz w:val="22"/>
                <w:szCs w:val="22"/>
              </w:rPr>
            </w:pPr>
          </w:p>
        </w:tc>
        <w:tc>
          <w:tcPr>
            <w:tcW w:w="2472" w:type="dxa"/>
          </w:tcPr>
          <w:p w14:paraId="632E9B49" w14:textId="77777777" w:rsidR="007A19AF" w:rsidRDefault="007A19AF">
            <w:pPr>
              <w:contextualSpacing/>
              <w:jc w:val="both"/>
              <w:rPr>
                <w:rFonts w:ascii="Arial" w:hAnsi="Arial" w:cs="Arial"/>
                <w:sz w:val="22"/>
                <w:szCs w:val="22"/>
              </w:rPr>
            </w:pPr>
          </w:p>
        </w:tc>
      </w:tr>
      <w:tr w:rsidR="007A19AF" w14:paraId="023B8136" w14:textId="77777777">
        <w:tc>
          <w:tcPr>
            <w:tcW w:w="1344" w:type="dxa"/>
          </w:tcPr>
          <w:p w14:paraId="6B792549" w14:textId="77777777" w:rsidR="007A19AF" w:rsidRDefault="007A19AF">
            <w:pPr>
              <w:contextualSpacing/>
              <w:jc w:val="both"/>
              <w:rPr>
                <w:rFonts w:ascii="Arial" w:hAnsi="Arial" w:cs="Arial"/>
                <w:sz w:val="22"/>
                <w:szCs w:val="22"/>
              </w:rPr>
            </w:pPr>
          </w:p>
        </w:tc>
        <w:tc>
          <w:tcPr>
            <w:tcW w:w="2610" w:type="dxa"/>
          </w:tcPr>
          <w:p w14:paraId="21984BEB" w14:textId="77777777" w:rsidR="007A19AF" w:rsidRDefault="007A19AF">
            <w:pPr>
              <w:contextualSpacing/>
              <w:jc w:val="both"/>
              <w:rPr>
                <w:rFonts w:ascii="Arial" w:hAnsi="Arial" w:cs="Arial"/>
                <w:sz w:val="22"/>
                <w:szCs w:val="22"/>
              </w:rPr>
            </w:pPr>
          </w:p>
        </w:tc>
        <w:tc>
          <w:tcPr>
            <w:tcW w:w="2474" w:type="dxa"/>
          </w:tcPr>
          <w:p w14:paraId="6AA54D83" w14:textId="77777777" w:rsidR="007A19AF" w:rsidRDefault="007A19AF">
            <w:pPr>
              <w:contextualSpacing/>
              <w:jc w:val="both"/>
              <w:rPr>
                <w:rFonts w:ascii="Arial" w:hAnsi="Arial" w:cs="Arial"/>
                <w:sz w:val="22"/>
                <w:szCs w:val="22"/>
              </w:rPr>
            </w:pPr>
          </w:p>
        </w:tc>
        <w:tc>
          <w:tcPr>
            <w:tcW w:w="2472" w:type="dxa"/>
          </w:tcPr>
          <w:p w14:paraId="629B7DF1" w14:textId="77777777" w:rsidR="007A19AF" w:rsidRDefault="007A19AF">
            <w:pPr>
              <w:contextualSpacing/>
              <w:jc w:val="both"/>
              <w:rPr>
                <w:rFonts w:ascii="Arial" w:hAnsi="Arial" w:cs="Arial"/>
                <w:sz w:val="22"/>
                <w:szCs w:val="22"/>
              </w:rPr>
            </w:pPr>
          </w:p>
        </w:tc>
      </w:tr>
      <w:tr w:rsidR="007A19AF" w14:paraId="0E7FF6E9" w14:textId="77777777">
        <w:tc>
          <w:tcPr>
            <w:tcW w:w="1344" w:type="dxa"/>
          </w:tcPr>
          <w:p w14:paraId="3FD8B55B" w14:textId="77777777" w:rsidR="007A19AF" w:rsidRDefault="007A19AF">
            <w:pPr>
              <w:contextualSpacing/>
              <w:jc w:val="both"/>
              <w:rPr>
                <w:rFonts w:ascii="Arial" w:hAnsi="Arial" w:cs="Arial"/>
                <w:sz w:val="22"/>
                <w:szCs w:val="22"/>
              </w:rPr>
            </w:pPr>
          </w:p>
        </w:tc>
        <w:tc>
          <w:tcPr>
            <w:tcW w:w="2610" w:type="dxa"/>
          </w:tcPr>
          <w:p w14:paraId="77B23B80" w14:textId="77777777" w:rsidR="007A19AF" w:rsidRDefault="007A19AF">
            <w:pPr>
              <w:contextualSpacing/>
              <w:jc w:val="both"/>
              <w:rPr>
                <w:rFonts w:ascii="Arial" w:hAnsi="Arial" w:cs="Arial"/>
                <w:sz w:val="22"/>
                <w:szCs w:val="22"/>
              </w:rPr>
            </w:pPr>
          </w:p>
        </w:tc>
        <w:tc>
          <w:tcPr>
            <w:tcW w:w="2474" w:type="dxa"/>
          </w:tcPr>
          <w:p w14:paraId="0BA18D5F" w14:textId="77777777" w:rsidR="007A19AF" w:rsidRDefault="007A19AF">
            <w:pPr>
              <w:contextualSpacing/>
              <w:jc w:val="both"/>
              <w:rPr>
                <w:rFonts w:ascii="Arial" w:hAnsi="Arial" w:cs="Arial"/>
                <w:sz w:val="22"/>
                <w:szCs w:val="22"/>
              </w:rPr>
            </w:pPr>
          </w:p>
        </w:tc>
        <w:tc>
          <w:tcPr>
            <w:tcW w:w="2472" w:type="dxa"/>
          </w:tcPr>
          <w:p w14:paraId="4FB93054" w14:textId="77777777" w:rsidR="007A19AF" w:rsidRDefault="007A19AF">
            <w:pPr>
              <w:contextualSpacing/>
              <w:jc w:val="both"/>
              <w:rPr>
                <w:rFonts w:ascii="Arial" w:hAnsi="Arial" w:cs="Arial"/>
                <w:sz w:val="22"/>
                <w:szCs w:val="22"/>
              </w:rPr>
            </w:pPr>
          </w:p>
        </w:tc>
      </w:tr>
    </w:tbl>
    <w:p w14:paraId="5E300DCD" w14:textId="77777777" w:rsidR="007A19AF" w:rsidRDefault="00EA729F">
      <w:pPr>
        <w:contextualSpacing/>
        <w:jc w:val="both"/>
        <w:rPr>
          <w:rFonts w:ascii="Arial" w:hAnsi="Arial" w:cs="Arial"/>
          <w:sz w:val="22"/>
          <w:szCs w:val="22"/>
        </w:rPr>
      </w:pPr>
      <w:r>
        <w:rPr>
          <w:rFonts w:ascii="Arial" w:hAnsi="Arial" w:cs="Arial"/>
          <w:sz w:val="22"/>
          <w:szCs w:val="22"/>
        </w:rPr>
        <w:t>Sanitary Sewer Overflows at WWTP: 0</w:t>
      </w:r>
    </w:p>
    <w:p w14:paraId="748E6469" w14:textId="77777777" w:rsidR="007A19AF" w:rsidRDefault="00EA729F">
      <w:pPr>
        <w:jc w:val="both"/>
        <w:rPr>
          <w:rFonts w:ascii="Arial" w:hAnsi="Arial" w:cs="Arial"/>
          <w:sz w:val="22"/>
          <w:szCs w:val="22"/>
        </w:rPr>
      </w:pPr>
      <w:r>
        <w:rPr>
          <w:rFonts w:ascii="Arial" w:hAnsi="Arial" w:cs="Arial"/>
          <w:sz w:val="22"/>
          <w:szCs w:val="22"/>
        </w:rPr>
        <w:t xml:space="preserve">Assessments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0</w:t>
      </w:r>
    </w:p>
    <w:p w14:paraId="15AF026A" w14:textId="77777777" w:rsidR="007A19AF" w:rsidRDefault="00EA729F">
      <w:pPr>
        <w:jc w:val="both"/>
        <w:rPr>
          <w:rFonts w:ascii="Arial" w:hAnsi="Arial" w:cs="Arial"/>
          <w:sz w:val="22"/>
          <w:szCs w:val="22"/>
        </w:rPr>
      </w:pPr>
      <w:r>
        <w:rPr>
          <w:rFonts w:ascii="Arial" w:hAnsi="Arial" w:cs="Arial"/>
          <w:sz w:val="22"/>
          <w:szCs w:val="22"/>
        </w:rPr>
        <w:t>Notice of violation</w:t>
      </w:r>
    </w:p>
    <w:p w14:paraId="75FC5021" w14:textId="77777777" w:rsidR="007A19AF" w:rsidRDefault="00EA729F">
      <w:pPr>
        <w:jc w:val="both"/>
        <w:rPr>
          <w:rFonts w:ascii="Arial" w:hAnsi="Arial" w:cs="Arial"/>
          <w:b/>
          <w:sz w:val="22"/>
          <w:szCs w:val="22"/>
        </w:rPr>
      </w:pPr>
      <w:r>
        <w:rPr>
          <w:rFonts w:ascii="Arial" w:hAnsi="Arial" w:cs="Arial"/>
          <w:b/>
          <w:sz w:val="22"/>
          <w:szCs w:val="22"/>
        </w:rPr>
        <w:t>General Information Sanitary Sewer Collection System</w:t>
      </w:r>
    </w:p>
    <w:p w14:paraId="6B9B07F5" w14:textId="77777777" w:rsidR="007A19AF" w:rsidRDefault="007A19AF">
      <w:pPr>
        <w:jc w:val="both"/>
        <w:rPr>
          <w:rFonts w:ascii="Arial" w:hAnsi="Arial" w:cs="Arial"/>
          <w:sz w:val="22"/>
          <w:szCs w:val="22"/>
        </w:rPr>
      </w:pPr>
    </w:p>
    <w:p w14:paraId="358D3984" w14:textId="77777777" w:rsidR="007A19AF" w:rsidRDefault="00EA729F">
      <w:pPr>
        <w:contextualSpacing/>
        <w:jc w:val="both"/>
        <w:rPr>
          <w:rFonts w:ascii="Arial" w:hAnsi="Arial" w:cs="Arial"/>
          <w:sz w:val="22"/>
          <w:szCs w:val="22"/>
        </w:rPr>
      </w:pPr>
      <w:r>
        <w:rPr>
          <w:rFonts w:ascii="Arial" w:hAnsi="Arial" w:cs="Arial"/>
          <w:sz w:val="22"/>
          <w:szCs w:val="22"/>
        </w:rPr>
        <w:t xml:space="preserve">The Town of Kenly operates a Sanitary Sewer Collection System permitted by NCDEQ number: WQCS00173. The Town operates and maintains approximately 2.5-miles of gravity sewer and associated manholes. 2.8-miles of force mains with nine pumping stations. </w:t>
      </w:r>
    </w:p>
    <w:p w14:paraId="05E44C02" w14:textId="77777777" w:rsidR="007A19AF" w:rsidRDefault="007A19AF">
      <w:pPr>
        <w:contextualSpacing/>
        <w:jc w:val="both"/>
        <w:rPr>
          <w:rFonts w:ascii="Arial" w:hAnsi="Arial" w:cs="Arial"/>
          <w:sz w:val="22"/>
          <w:szCs w:val="22"/>
        </w:rPr>
      </w:pPr>
    </w:p>
    <w:p w14:paraId="22448E0B" w14:textId="77777777" w:rsidR="007A19AF" w:rsidRDefault="00EA729F">
      <w:pPr>
        <w:contextualSpacing/>
        <w:jc w:val="both"/>
        <w:rPr>
          <w:rFonts w:ascii="Arial" w:hAnsi="Arial" w:cs="Arial"/>
          <w:sz w:val="22"/>
          <w:szCs w:val="22"/>
        </w:rPr>
      </w:pPr>
      <w:r>
        <w:rPr>
          <w:rFonts w:ascii="Arial" w:hAnsi="Arial" w:cs="Arial"/>
          <w:sz w:val="22"/>
          <w:szCs w:val="22"/>
        </w:rPr>
        <w:t xml:space="preserve">Each pump station is equipped with a standby diesel generator and automatic transfer switch for emergency </w:t>
      </w:r>
      <w:proofErr w:type="spellStart"/>
      <w:r>
        <w:rPr>
          <w:rFonts w:ascii="Arial" w:hAnsi="Arial" w:cs="Arial"/>
          <w:sz w:val="22"/>
          <w:szCs w:val="22"/>
        </w:rPr>
        <w:t>back up</w:t>
      </w:r>
      <w:proofErr w:type="spellEnd"/>
      <w:r>
        <w:rPr>
          <w:rFonts w:ascii="Arial" w:hAnsi="Arial" w:cs="Arial"/>
          <w:sz w:val="22"/>
          <w:szCs w:val="22"/>
        </w:rPr>
        <w:t xml:space="preserve"> power, or a plug-in electrical connection and manual transfer switch and plug (receptacle) which allows the portable trailer mounted generator to be hooked up at each pump station in case of power failure. Each station is equipped with a Mission auto-dialer, which is programmed to alert the operators to problems that need immediate attention. Five of the nine pump stations were completely overhauled in 2010</w:t>
      </w:r>
    </w:p>
    <w:p w14:paraId="3B0A0101" w14:textId="77777777" w:rsidR="007A19AF" w:rsidRDefault="007A19AF">
      <w:pPr>
        <w:contextualSpacing/>
        <w:jc w:val="both"/>
        <w:rPr>
          <w:rFonts w:ascii="Arial" w:hAnsi="Arial" w:cs="Arial"/>
          <w:sz w:val="22"/>
          <w:szCs w:val="22"/>
        </w:rPr>
      </w:pPr>
    </w:p>
    <w:p w14:paraId="09D5685F" w14:textId="77777777" w:rsidR="007A19AF" w:rsidRDefault="00EA729F">
      <w:pPr>
        <w:contextualSpacing/>
        <w:jc w:val="both"/>
        <w:rPr>
          <w:rFonts w:ascii="Arial" w:hAnsi="Arial" w:cs="Arial"/>
          <w:sz w:val="22"/>
          <w:szCs w:val="22"/>
        </w:rPr>
      </w:pPr>
      <w:r>
        <w:rPr>
          <w:rFonts w:ascii="Arial" w:hAnsi="Arial" w:cs="Arial"/>
          <w:sz w:val="22"/>
          <w:szCs w:val="22"/>
        </w:rPr>
        <w:t xml:space="preserve">The Town Council for the Town of Kenly updates and adopts a 20-year Capital Improvement Plan regularly, to determine the capital needs related to the sanitary sewer system, and prioritize the projects based upon the cost and environmental damage caused by its failure. The Town routinely inspects approximately 10-15% of the gravity sanitary sewer and manholes on an annual basis to avoid potential overflows and stoppage. </w:t>
      </w:r>
      <w:r w:rsidR="000C7C40">
        <w:rPr>
          <w:rFonts w:ascii="Arial" w:hAnsi="Arial" w:cs="Arial"/>
          <w:sz w:val="22"/>
          <w:szCs w:val="22"/>
        </w:rPr>
        <w:t xml:space="preserve"> Approximately 8500 ft of sewer mains were cleaned. The Town hired the services of Keen Plumbing to aid in the jetting and </w:t>
      </w:r>
      <w:r w:rsidR="00ED143E">
        <w:rPr>
          <w:rFonts w:ascii="Arial" w:hAnsi="Arial" w:cs="Arial"/>
          <w:sz w:val="22"/>
          <w:szCs w:val="22"/>
        </w:rPr>
        <w:t>vacuuming sewer mains/manholes</w:t>
      </w:r>
    </w:p>
    <w:p w14:paraId="5B11B24B" w14:textId="77777777" w:rsidR="007A19AF" w:rsidRDefault="007A19AF">
      <w:pPr>
        <w:rPr>
          <w:rFonts w:ascii="Arial" w:hAnsi="Arial" w:cs="Arial"/>
          <w:sz w:val="22"/>
          <w:szCs w:val="22"/>
        </w:rPr>
      </w:pPr>
    </w:p>
    <w:p w14:paraId="50F1C069" w14:textId="77777777" w:rsidR="007A19AF" w:rsidRDefault="00EA729F">
      <w:pPr>
        <w:jc w:val="both"/>
        <w:rPr>
          <w:rFonts w:ascii="Arial" w:hAnsi="Arial" w:cs="Arial"/>
          <w:sz w:val="22"/>
          <w:szCs w:val="22"/>
        </w:rPr>
      </w:pPr>
      <w:r>
        <w:rPr>
          <w:rFonts w:ascii="Arial" w:hAnsi="Arial" w:cs="Arial"/>
          <w:sz w:val="22"/>
          <w:szCs w:val="22"/>
        </w:rPr>
        <w:t xml:space="preserve">Currently, the Town has one </w:t>
      </w:r>
      <w:r w:rsidR="000C7C40">
        <w:rPr>
          <w:rFonts w:ascii="Arial" w:hAnsi="Arial" w:cs="Arial"/>
          <w:sz w:val="22"/>
          <w:szCs w:val="22"/>
        </w:rPr>
        <w:t>project in construction phase</w:t>
      </w:r>
      <w:r>
        <w:rPr>
          <w:rFonts w:ascii="Arial" w:hAnsi="Arial" w:cs="Arial"/>
          <w:sz w:val="22"/>
          <w:szCs w:val="22"/>
        </w:rPr>
        <w:t xml:space="preserve">, which is funded through the Community Development Block Grant (CDBG) Infrastructure division of NCDEQ-DWI. The project is intended to address several areas within the system, which are the source of excessive inflow and infiltration (I&amp;I). </w:t>
      </w:r>
    </w:p>
    <w:p w14:paraId="656F5BD3" w14:textId="77777777" w:rsidR="007A19AF" w:rsidRDefault="007A19AF">
      <w:pPr>
        <w:rPr>
          <w:rFonts w:ascii="Arial" w:hAnsi="Arial" w:cs="Arial"/>
          <w:sz w:val="22"/>
          <w:szCs w:val="22"/>
        </w:rPr>
      </w:pPr>
    </w:p>
    <w:p w14:paraId="7C22AC21" w14:textId="77777777" w:rsidR="007A19AF" w:rsidRDefault="00EA729F">
      <w:pPr>
        <w:rPr>
          <w:rFonts w:ascii="Arial" w:hAnsi="Arial" w:cs="Arial"/>
          <w:b/>
          <w:bCs/>
          <w:sz w:val="22"/>
          <w:szCs w:val="22"/>
        </w:rPr>
      </w:pPr>
      <w:r>
        <w:rPr>
          <w:rFonts w:ascii="Arial" w:hAnsi="Arial" w:cs="Arial"/>
          <w:b/>
          <w:bCs/>
          <w:sz w:val="22"/>
          <w:szCs w:val="22"/>
        </w:rPr>
        <w:t>What is Inflow/Infiltration (I&amp;I)?</w:t>
      </w:r>
    </w:p>
    <w:p w14:paraId="59325F34" w14:textId="77777777" w:rsidR="007A19AF" w:rsidRDefault="007A19AF">
      <w:pPr>
        <w:rPr>
          <w:rFonts w:ascii="Arial" w:hAnsi="Arial" w:cs="Arial"/>
          <w:sz w:val="22"/>
          <w:szCs w:val="22"/>
        </w:rPr>
      </w:pPr>
    </w:p>
    <w:p w14:paraId="7C7B3969" w14:textId="77777777" w:rsidR="007A19AF" w:rsidRDefault="00EA729F">
      <w:pPr>
        <w:jc w:val="both"/>
        <w:rPr>
          <w:rFonts w:ascii="Arial" w:hAnsi="Arial" w:cs="Arial"/>
          <w:sz w:val="22"/>
          <w:szCs w:val="22"/>
        </w:rPr>
      </w:pPr>
      <w:r>
        <w:rPr>
          <w:rFonts w:ascii="Arial" w:hAnsi="Arial" w:cs="Arial"/>
          <w:sz w:val="22"/>
          <w:szCs w:val="22"/>
        </w:rPr>
        <w:t>I &amp; I generally come from the unwanted introduction of groundwater and/or stormwater, which enters the sanitary sewer collection system through unintended openings in the system. These openings can be caused by a variety of problems such as:</w:t>
      </w:r>
    </w:p>
    <w:p w14:paraId="1E566416" w14:textId="77777777" w:rsidR="007A19AF" w:rsidRDefault="007A19AF">
      <w:pPr>
        <w:jc w:val="both"/>
        <w:rPr>
          <w:rFonts w:ascii="Arial" w:hAnsi="Arial" w:cs="Arial"/>
          <w:sz w:val="22"/>
          <w:szCs w:val="22"/>
        </w:rPr>
      </w:pPr>
    </w:p>
    <w:p w14:paraId="734A6C0B" w14:textId="77777777" w:rsidR="007A19AF" w:rsidRDefault="00EA729F">
      <w:pPr>
        <w:jc w:val="both"/>
        <w:rPr>
          <w:rFonts w:ascii="Arial" w:hAnsi="Arial" w:cs="Arial"/>
          <w:sz w:val="22"/>
          <w:szCs w:val="22"/>
        </w:rPr>
      </w:pPr>
      <w:r>
        <w:rPr>
          <w:rFonts w:ascii="Arial" w:hAnsi="Arial" w:cs="Arial"/>
          <w:sz w:val="22"/>
          <w:szCs w:val="22"/>
          <w:u w:val="single"/>
        </w:rPr>
        <w:t xml:space="preserve">Separated pipe joints: </w:t>
      </w:r>
      <w:r>
        <w:rPr>
          <w:rFonts w:ascii="Arial" w:hAnsi="Arial" w:cs="Arial"/>
          <w:sz w:val="22"/>
          <w:szCs w:val="22"/>
        </w:rPr>
        <w:t xml:space="preserve">These usually occur where the pipes join together, which can be caused by settlement, deterioration, or tree roots. </w:t>
      </w:r>
    </w:p>
    <w:p w14:paraId="091FC9DA" w14:textId="77777777" w:rsidR="007A19AF" w:rsidRDefault="007A19AF">
      <w:pPr>
        <w:jc w:val="both"/>
        <w:rPr>
          <w:rFonts w:ascii="Arial" w:hAnsi="Arial" w:cs="Arial"/>
          <w:sz w:val="22"/>
          <w:szCs w:val="22"/>
        </w:rPr>
      </w:pPr>
    </w:p>
    <w:p w14:paraId="238F5A62" w14:textId="77777777" w:rsidR="007A19AF" w:rsidRDefault="00EA729F">
      <w:pPr>
        <w:jc w:val="both"/>
        <w:rPr>
          <w:rFonts w:ascii="Arial" w:hAnsi="Arial" w:cs="Arial"/>
          <w:sz w:val="22"/>
          <w:szCs w:val="22"/>
        </w:rPr>
      </w:pPr>
      <w:r>
        <w:rPr>
          <w:rFonts w:ascii="Arial" w:hAnsi="Arial" w:cs="Arial"/>
          <w:sz w:val="22"/>
          <w:szCs w:val="22"/>
          <w:u w:val="single"/>
        </w:rPr>
        <w:t>Brick or Deteriorated Concrete Manholes</w:t>
      </w:r>
      <w:r>
        <w:rPr>
          <w:rFonts w:ascii="Arial" w:hAnsi="Arial" w:cs="Arial"/>
          <w:sz w:val="22"/>
          <w:szCs w:val="22"/>
        </w:rPr>
        <w:t>: Many times, after years of use, the hydrogen sulfide (H</w:t>
      </w:r>
      <w:r>
        <w:rPr>
          <w:rFonts w:ascii="Arial" w:hAnsi="Arial" w:cs="Arial"/>
          <w:sz w:val="16"/>
          <w:szCs w:val="16"/>
        </w:rPr>
        <w:t>2</w:t>
      </w:r>
      <w:r>
        <w:rPr>
          <w:rFonts w:ascii="Arial" w:hAnsi="Arial" w:cs="Arial"/>
          <w:sz w:val="22"/>
          <w:szCs w:val="22"/>
        </w:rPr>
        <w:t xml:space="preserve">S) gas, which is a by-product of anoxic wastewater, will cause the failure of cementitious products such as mortar and concrete. </w:t>
      </w:r>
    </w:p>
    <w:p w14:paraId="4D8B1F31" w14:textId="77777777" w:rsidR="007A19AF" w:rsidRDefault="007A19AF">
      <w:pPr>
        <w:jc w:val="both"/>
        <w:rPr>
          <w:rFonts w:ascii="Arial" w:hAnsi="Arial" w:cs="Arial"/>
          <w:sz w:val="22"/>
          <w:szCs w:val="22"/>
        </w:rPr>
      </w:pPr>
    </w:p>
    <w:p w14:paraId="6D38807A" w14:textId="77777777" w:rsidR="007A19AF" w:rsidRDefault="00EA729F">
      <w:pPr>
        <w:jc w:val="both"/>
        <w:rPr>
          <w:rFonts w:ascii="Arial" w:hAnsi="Arial" w:cs="Arial"/>
          <w:sz w:val="22"/>
          <w:szCs w:val="22"/>
        </w:rPr>
      </w:pPr>
      <w:r>
        <w:rPr>
          <w:rFonts w:ascii="Arial" w:hAnsi="Arial" w:cs="Arial"/>
          <w:sz w:val="22"/>
          <w:szCs w:val="22"/>
          <w:u w:val="single"/>
        </w:rPr>
        <w:t>Missing Clean-out caps:</w:t>
      </w:r>
      <w:r>
        <w:rPr>
          <w:rFonts w:ascii="Arial" w:hAnsi="Arial" w:cs="Arial"/>
          <w:sz w:val="22"/>
          <w:szCs w:val="22"/>
        </w:rPr>
        <w:t xml:space="preserve"> The brass or PVC caps that close the clean-outs to sanitary sewer services for unclogging services will disappear or destroyed by lawnmowers. </w:t>
      </w:r>
    </w:p>
    <w:p w14:paraId="2BA5B4D1" w14:textId="77777777" w:rsidR="007A19AF" w:rsidRDefault="007A19AF">
      <w:pPr>
        <w:jc w:val="both"/>
        <w:rPr>
          <w:rFonts w:ascii="Arial" w:hAnsi="Arial" w:cs="Arial"/>
          <w:sz w:val="22"/>
          <w:szCs w:val="22"/>
        </w:rPr>
      </w:pPr>
    </w:p>
    <w:p w14:paraId="0F16905E" w14:textId="77777777" w:rsidR="007A19AF" w:rsidRDefault="00EA729F">
      <w:pPr>
        <w:jc w:val="both"/>
        <w:rPr>
          <w:rFonts w:ascii="Arial" w:hAnsi="Arial" w:cs="Arial"/>
          <w:sz w:val="22"/>
          <w:szCs w:val="22"/>
        </w:rPr>
      </w:pPr>
      <w:r>
        <w:rPr>
          <w:rFonts w:ascii="Arial" w:hAnsi="Arial" w:cs="Arial"/>
          <w:sz w:val="22"/>
          <w:szCs w:val="22"/>
          <w:u w:val="single"/>
        </w:rPr>
        <w:t>Mis-aligned manhole frames and lids:</w:t>
      </w:r>
      <w:r>
        <w:rPr>
          <w:rFonts w:ascii="Arial" w:hAnsi="Arial" w:cs="Arial"/>
          <w:sz w:val="22"/>
          <w:szCs w:val="22"/>
        </w:rPr>
        <w:t xml:space="preserve"> During construction or other activities, the manhole frame will accidentally be pushed off of the manhole, causing an area for inflow. </w:t>
      </w:r>
    </w:p>
    <w:p w14:paraId="6FAD22D6" w14:textId="77777777" w:rsidR="007A19AF" w:rsidRDefault="007A19AF">
      <w:pPr>
        <w:jc w:val="both"/>
        <w:rPr>
          <w:rFonts w:ascii="Arial" w:hAnsi="Arial" w:cs="Arial"/>
          <w:sz w:val="22"/>
          <w:szCs w:val="22"/>
        </w:rPr>
      </w:pPr>
    </w:p>
    <w:p w14:paraId="601E70E3" w14:textId="77777777" w:rsidR="007A19AF" w:rsidRDefault="00EA729F">
      <w:pPr>
        <w:jc w:val="both"/>
        <w:rPr>
          <w:rFonts w:ascii="Arial" w:hAnsi="Arial" w:cs="Arial"/>
          <w:sz w:val="22"/>
          <w:szCs w:val="22"/>
        </w:rPr>
      </w:pPr>
      <w:r>
        <w:rPr>
          <w:rFonts w:ascii="Arial" w:hAnsi="Arial" w:cs="Arial"/>
          <w:sz w:val="22"/>
          <w:szCs w:val="22"/>
          <w:u w:val="single"/>
        </w:rPr>
        <w:lastRenderedPageBreak/>
        <w:t>Cross-connections to storm drains</w:t>
      </w:r>
      <w:r>
        <w:rPr>
          <w:rFonts w:ascii="Arial" w:hAnsi="Arial" w:cs="Arial"/>
          <w:sz w:val="22"/>
          <w:szCs w:val="22"/>
        </w:rPr>
        <w:t>: Many times, there are unintentional connections made between the sanitary sewer collection system and storm drainage. Depending on the size and location, the connections can cause significant I/I.</w:t>
      </w:r>
    </w:p>
    <w:p w14:paraId="0ADDAC21" w14:textId="77777777" w:rsidR="007A19AF" w:rsidRDefault="007A19AF">
      <w:pPr>
        <w:jc w:val="both"/>
        <w:rPr>
          <w:rFonts w:ascii="Arial" w:hAnsi="Arial" w:cs="Arial"/>
          <w:sz w:val="22"/>
          <w:szCs w:val="22"/>
        </w:rPr>
      </w:pPr>
    </w:p>
    <w:p w14:paraId="75212488" w14:textId="77777777" w:rsidR="007A19AF" w:rsidRDefault="00EA729F">
      <w:pPr>
        <w:jc w:val="both"/>
        <w:rPr>
          <w:rFonts w:ascii="Arial" w:hAnsi="Arial" w:cs="Arial"/>
          <w:b/>
          <w:bCs/>
          <w:sz w:val="22"/>
          <w:szCs w:val="22"/>
        </w:rPr>
      </w:pPr>
      <w:r>
        <w:rPr>
          <w:rFonts w:ascii="Arial" w:hAnsi="Arial" w:cs="Arial"/>
          <w:b/>
          <w:bCs/>
          <w:sz w:val="22"/>
          <w:szCs w:val="22"/>
        </w:rPr>
        <w:t>Sanitary Sewer Overflows:</w:t>
      </w:r>
    </w:p>
    <w:p w14:paraId="13837E9A" w14:textId="77777777" w:rsidR="000C7C40" w:rsidRDefault="000C7C40">
      <w:pPr>
        <w:jc w:val="both"/>
        <w:rPr>
          <w:rFonts w:ascii="Arial" w:hAnsi="Arial" w:cs="Arial"/>
          <w:b/>
          <w:bCs/>
          <w:sz w:val="22"/>
          <w:szCs w:val="22"/>
        </w:rPr>
      </w:pPr>
    </w:p>
    <w:p w14:paraId="369CA3E7" w14:textId="77777777" w:rsidR="000C7C40" w:rsidRDefault="000C7C40" w:rsidP="000C7C40">
      <w:pPr>
        <w:rPr>
          <w:rFonts w:ascii="Arial" w:hAnsi="Arial" w:cs="Arial"/>
          <w:sz w:val="22"/>
          <w:szCs w:val="22"/>
        </w:rPr>
      </w:pPr>
      <w:r>
        <w:rPr>
          <w:rFonts w:ascii="Arial" w:hAnsi="Arial" w:cs="Arial"/>
          <w:sz w:val="22"/>
          <w:szCs w:val="22"/>
        </w:rPr>
        <w:t>The Town of Kenly had one reportable sanitary sewer overflows (SSOs) in 2022. On July 16</w:t>
      </w:r>
      <w:r w:rsidRPr="000C7C40">
        <w:rPr>
          <w:rFonts w:ascii="Arial" w:hAnsi="Arial" w:cs="Arial"/>
          <w:sz w:val="22"/>
          <w:szCs w:val="22"/>
          <w:vertAlign w:val="superscript"/>
        </w:rPr>
        <w:t>th</w:t>
      </w:r>
      <w:r>
        <w:rPr>
          <w:rFonts w:ascii="Arial" w:hAnsi="Arial" w:cs="Arial"/>
          <w:sz w:val="22"/>
          <w:szCs w:val="22"/>
        </w:rPr>
        <w:t xml:space="preserve"> 2022 a </w:t>
      </w:r>
      <w:proofErr w:type="gramStart"/>
      <w:r>
        <w:rPr>
          <w:rFonts w:ascii="Arial" w:hAnsi="Arial" w:cs="Arial"/>
          <w:sz w:val="22"/>
          <w:szCs w:val="22"/>
        </w:rPr>
        <w:t>6 inch</w:t>
      </w:r>
      <w:proofErr w:type="gramEnd"/>
      <w:r>
        <w:rPr>
          <w:rFonts w:ascii="Arial" w:hAnsi="Arial" w:cs="Arial"/>
          <w:sz w:val="22"/>
          <w:szCs w:val="22"/>
        </w:rPr>
        <w:t xml:space="preserve"> force main cracked bringing sewer to the surface of the road. Sewer did not reach any stream/rivers do to the shoulder of the road had sewer dammed up. All sewer was vacuumed up by a truck. A contractor was brought in to repair and replace pipe. Town crew helped all involved and spreaded out pelletized lime. DENR was contacted about overflow Sunday morning July 17</w:t>
      </w:r>
      <w:r w:rsidRPr="000C7C40">
        <w:rPr>
          <w:rFonts w:ascii="Arial" w:hAnsi="Arial" w:cs="Arial"/>
          <w:sz w:val="22"/>
          <w:szCs w:val="22"/>
          <w:vertAlign w:val="superscript"/>
        </w:rPr>
        <w:t>th</w:t>
      </w:r>
      <w:r>
        <w:rPr>
          <w:rFonts w:ascii="Arial" w:hAnsi="Arial" w:cs="Arial"/>
          <w:sz w:val="22"/>
          <w:szCs w:val="22"/>
        </w:rPr>
        <w:t>. Emergency number was called.</w:t>
      </w:r>
    </w:p>
    <w:p w14:paraId="3248931C" w14:textId="77777777" w:rsidR="007A19AF" w:rsidRDefault="007A19AF">
      <w:pPr>
        <w:jc w:val="both"/>
        <w:rPr>
          <w:rFonts w:ascii="Arial" w:hAnsi="Arial" w:cs="Arial"/>
          <w:b/>
          <w:bCs/>
          <w:sz w:val="22"/>
          <w:szCs w:val="22"/>
        </w:rPr>
      </w:pPr>
    </w:p>
    <w:p w14:paraId="254069DF" w14:textId="77777777" w:rsidR="007A19AF" w:rsidRDefault="00EA729F">
      <w:pPr>
        <w:jc w:val="both"/>
        <w:rPr>
          <w:rFonts w:ascii="Arial" w:hAnsi="Arial" w:cs="Arial"/>
          <w:sz w:val="22"/>
          <w:szCs w:val="22"/>
        </w:rPr>
      </w:pPr>
      <w:r>
        <w:rPr>
          <w:rFonts w:ascii="Arial" w:hAnsi="Arial" w:cs="Arial"/>
          <w:sz w:val="22"/>
          <w:szCs w:val="22"/>
        </w:rPr>
        <w:t xml:space="preserve">Most sanitary sewer overflows can be avoided with the help of our customers. </w:t>
      </w:r>
    </w:p>
    <w:p w14:paraId="332A5B8A" w14:textId="77777777" w:rsidR="007A19AF" w:rsidRDefault="007A19AF">
      <w:pPr>
        <w:jc w:val="both"/>
        <w:rPr>
          <w:rFonts w:ascii="Arial" w:hAnsi="Arial" w:cs="Arial"/>
          <w:sz w:val="22"/>
          <w:szCs w:val="22"/>
        </w:rPr>
      </w:pPr>
    </w:p>
    <w:p w14:paraId="7B069A91" w14:textId="77777777" w:rsidR="007A19AF" w:rsidRDefault="00EA729F">
      <w:pPr>
        <w:jc w:val="both"/>
        <w:rPr>
          <w:rFonts w:ascii="Arial" w:hAnsi="Arial" w:cs="Arial"/>
          <w:sz w:val="22"/>
          <w:szCs w:val="22"/>
        </w:rPr>
      </w:pPr>
      <w:r>
        <w:rPr>
          <w:rFonts w:ascii="Arial" w:hAnsi="Arial" w:cs="Arial"/>
          <w:b/>
          <w:bCs/>
          <w:sz w:val="22"/>
          <w:szCs w:val="22"/>
        </w:rPr>
        <w:t>Do Not</w:t>
      </w:r>
      <w:r>
        <w:rPr>
          <w:rFonts w:ascii="Arial" w:hAnsi="Arial" w:cs="Arial"/>
          <w:sz w:val="22"/>
          <w:szCs w:val="22"/>
        </w:rPr>
        <w:t xml:space="preserve"> use the toilet as a wastebasket – place a wastebasket in each bathroom for the disposal of solid waste, disposable diapers, condoms, personal hygiene products that do not belong in the sewer. </w:t>
      </w:r>
    </w:p>
    <w:p w14:paraId="476499EC" w14:textId="77777777" w:rsidR="007A19AF" w:rsidRDefault="007A19AF">
      <w:pPr>
        <w:jc w:val="both"/>
        <w:rPr>
          <w:rFonts w:ascii="Arial" w:hAnsi="Arial" w:cs="Arial"/>
          <w:sz w:val="22"/>
          <w:szCs w:val="22"/>
        </w:rPr>
      </w:pPr>
    </w:p>
    <w:p w14:paraId="7971C647" w14:textId="77777777" w:rsidR="007A19AF" w:rsidRDefault="00EA729F">
      <w:pPr>
        <w:jc w:val="both"/>
        <w:rPr>
          <w:rFonts w:ascii="Arial" w:hAnsi="Arial" w:cs="Arial"/>
          <w:sz w:val="22"/>
          <w:szCs w:val="22"/>
        </w:rPr>
      </w:pPr>
      <w:r>
        <w:rPr>
          <w:rFonts w:ascii="Arial" w:hAnsi="Arial" w:cs="Arial"/>
          <w:b/>
          <w:bCs/>
          <w:sz w:val="22"/>
          <w:szCs w:val="22"/>
        </w:rPr>
        <w:t>Do Not</w:t>
      </w:r>
      <w:r>
        <w:rPr>
          <w:rFonts w:ascii="Arial" w:hAnsi="Arial" w:cs="Arial"/>
          <w:sz w:val="22"/>
          <w:szCs w:val="22"/>
        </w:rPr>
        <w:t xml:space="preserve"> pour grease, fats, and oils from cooking down the drain – Instead, collect the grease in a container and dispose of it as garbage. </w:t>
      </w:r>
    </w:p>
    <w:p w14:paraId="1CD07FF1" w14:textId="77777777" w:rsidR="007A19AF" w:rsidRDefault="007A19AF">
      <w:pPr>
        <w:jc w:val="both"/>
        <w:rPr>
          <w:rFonts w:ascii="Arial" w:hAnsi="Arial" w:cs="Arial"/>
          <w:sz w:val="22"/>
          <w:szCs w:val="22"/>
        </w:rPr>
      </w:pPr>
    </w:p>
    <w:p w14:paraId="05C8F4A1" w14:textId="77777777" w:rsidR="007A19AF" w:rsidRDefault="00EA729F">
      <w:pPr>
        <w:jc w:val="both"/>
        <w:rPr>
          <w:rFonts w:ascii="Arial" w:hAnsi="Arial" w:cs="Arial"/>
          <w:sz w:val="22"/>
          <w:szCs w:val="22"/>
        </w:rPr>
      </w:pPr>
      <w:r>
        <w:rPr>
          <w:rFonts w:ascii="Arial" w:hAnsi="Arial" w:cs="Arial"/>
          <w:b/>
          <w:bCs/>
          <w:sz w:val="22"/>
          <w:szCs w:val="22"/>
        </w:rPr>
        <w:t>Do Not</w:t>
      </w:r>
      <w:r>
        <w:rPr>
          <w:rFonts w:ascii="Arial" w:hAnsi="Arial" w:cs="Arial"/>
          <w:sz w:val="22"/>
          <w:szCs w:val="22"/>
        </w:rPr>
        <w:t xml:space="preserve"> the sink to dispose of food scraps, instead place food scraps in the garbage for disposal with solid wastes, or better yet, start a compost pile. </w:t>
      </w:r>
    </w:p>
    <w:p w14:paraId="095D812F" w14:textId="77777777" w:rsidR="007A19AF" w:rsidRDefault="007A19AF">
      <w:pPr>
        <w:jc w:val="both"/>
        <w:rPr>
          <w:rFonts w:ascii="Arial" w:hAnsi="Arial" w:cs="Arial"/>
          <w:sz w:val="22"/>
          <w:szCs w:val="22"/>
        </w:rPr>
      </w:pPr>
    </w:p>
    <w:p w14:paraId="6331A07E" w14:textId="77777777" w:rsidR="007A19AF" w:rsidRDefault="00EA729F">
      <w:pPr>
        <w:jc w:val="both"/>
        <w:rPr>
          <w:rFonts w:ascii="Arial" w:hAnsi="Arial" w:cs="Arial"/>
          <w:sz w:val="22"/>
          <w:szCs w:val="22"/>
        </w:rPr>
      </w:pPr>
      <w:r>
        <w:rPr>
          <w:rFonts w:ascii="Arial" w:hAnsi="Arial" w:cs="Arial"/>
          <w:sz w:val="22"/>
          <w:szCs w:val="22"/>
        </w:rPr>
        <w:t xml:space="preserve">If our customers have questions or concerns, please don’t hesitate to call our public works department at 919-284-2116, and someone will be glad to assist you. </w:t>
      </w:r>
    </w:p>
    <w:p w14:paraId="01E6F95D" w14:textId="77777777" w:rsidR="007A19AF" w:rsidRDefault="007A19AF">
      <w:pPr>
        <w:jc w:val="both"/>
        <w:rPr>
          <w:rFonts w:ascii="Arial" w:hAnsi="Arial" w:cs="Arial"/>
          <w:sz w:val="22"/>
          <w:szCs w:val="22"/>
        </w:rPr>
      </w:pPr>
    </w:p>
    <w:p w14:paraId="14F9145E" w14:textId="77777777" w:rsidR="007A19AF" w:rsidRDefault="007A19AF">
      <w:pPr>
        <w:rPr>
          <w:rFonts w:ascii="Arial" w:hAnsi="Arial" w:cs="Arial"/>
          <w:sz w:val="22"/>
          <w:szCs w:val="22"/>
        </w:rPr>
      </w:pPr>
    </w:p>
    <w:p w14:paraId="328F1ABD" w14:textId="77777777" w:rsidR="007A19AF" w:rsidRDefault="007A19AF">
      <w:pPr>
        <w:rPr>
          <w:rFonts w:ascii="Arial" w:hAnsi="Arial" w:cs="Arial"/>
          <w:sz w:val="22"/>
          <w:szCs w:val="22"/>
        </w:rPr>
      </w:pPr>
    </w:p>
    <w:p w14:paraId="3701A52B" w14:textId="77777777" w:rsidR="007A19AF" w:rsidRDefault="007A19AF">
      <w:pPr>
        <w:rPr>
          <w:rFonts w:ascii="Arial" w:hAnsi="Arial" w:cs="Arial"/>
          <w:sz w:val="22"/>
          <w:szCs w:val="22"/>
        </w:rPr>
      </w:pPr>
    </w:p>
    <w:p w14:paraId="552A3AA9" w14:textId="77777777" w:rsidR="007A19AF" w:rsidRDefault="007A19AF">
      <w:pPr>
        <w:rPr>
          <w:rFonts w:ascii="Arial" w:hAnsi="Arial" w:cs="Arial"/>
          <w:sz w:val="22"/>
          <w:szCs w:val="22"/>
        </w:rPr>
      </w:pPr>
    </w:p>
    <w:p w14:paraId="50194FA4" w14:textId="77777777" w:rsidR="007A19AF" w:rsidRDefault="007A19AF">
      <w:pPr>
        <w:rPr>
          <w:rFonts w:ascii="Arial" w:hAnsi="Arial" w:cs="Arial"/>
          <w:sz w:val="22"/>
          <w:szCs w:val="22"/>
        </w:rPr>
      </w:pPr>
    </w:p>
    <w:p w14:paraId="76113625" w14:textId="77777777" w:rsidR="007A19AF" w:rsidRDefault="007A19AF">
      <w:pPr>
        <w:rPr>
          <w:rFonts w:ascii="Arial" w:hAnsi="Arial" w:cs="Arial"/>
          <w:sz w:val="22"/>
          <w:szCs w:val="22"/>
        </w:rPr>
      </w:pPr>
    </w:p>
    <w:p w14:paraId="0D57150B" w14:textId="77777777" w:rsidR="007A19AF" w:rsidRDefault="007A19AF">
      <w:pPr>
        <w:rPr>
          <w:rFonts w:ascii="Arial" w:hAnsi="Arial" w:cs="Arial"/>
          <w:sz w:val="22"/>
          <w:szCs w:val="22"/>
        </w:rPr>
      </w:pPr>
    </w:p>
    <w:sectPr w:rsidR="007A19AF">
      <w:footerReference w:type="default" r:id="rId9"/>
      <w:pgSz w:w="12240" w:h="15840"/>
      <w:pgMar w:top="576" w:right="1260" w:bottom="1152" w:left="1080" w:header="0" w:footer="720" w:gutter="0"/>
      <w:pgNumType w:start="3"/>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CE03B" w14:textId="77777777" w:rsidR="00A63EFB" w:rsidRDefault="00A63EFB">
      <w:r>
        <w:separator/>
      </w:r>
    </w:p>
  </w:endnote>
  <w:endnote w:type="continuationSeparator" w:id="0">
    <w:p w14:paraId="7DEDACD6" w14:textId="77777777" w:rsidR="00A63EFB" w:rsidRDefault="00A6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8F1D" w14:textId="77777777" w:rsidR="007A19AF" w:rsidRDefault="00EA729F">
    <w:pPr>
      <w:pStyle w:val="Footer"/>
      <w:jc w:val="center"/>
    </w:pPr>
    <w:r>
      <w:rPr>
        <w:noProof/>
      </w:rPr>
      <mc:AlternateContent>
        <mc:Choice Requires="wps">
          <w:drawing>
            <wp:anchor distT="0" distB="0" distL="0" distR="0" simplePos="0" relativeHeight="7" behindDoc="0" locked="0" layoutInCell="0" allowOverlap="1" wp14:anchorId="6587A706" wp14:editId="201F7CEE">
              <wp:simplePos x="0" y="0"/>
              <wp:positionH relativeFrom="margin">
                <wp:align>center</wp:align>
              </wp:positionH>
              <wp:positionV relativeFrom="paragraph">
                <wp:posOffset>635</wp:posOffset>
              </wp:positionV>
              <wp:extent cx="14605" cy="175260"/>
              <wp:effectExtent l="0" t="0" r="0" b="0"/>
              <wp:wrapSquare wrapText="bothSides"/>
              <wp:docPr id="3" name="Frame1"/>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14:paraId="73087194" w14:textId="77777777" w:rsidR="007A19AF" w:rsidRDefault="007A19AF">
                          <w:pPr>
                            <w:pStyle w:val="Footer"/>
                          </w:pP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0;margin-top:.05pt;width:1.15pt;height:13.8pt;z-index: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" o:allowincell="f" stroked="f">
              <v:fill opacity="0"/>
              <v:textbox style="mso-fit-shape-to-text:t" inset="0,0,0,0">
                <w:txbxContent>
                  <w:p w:rsidR="007A19AF" w:rsidRDefault="007A19AF">
                    <w:pPr>
                      <w:pStyle w:val="Footer"/>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A3EA7" w14:textId="77777777" w:rsidR="00A63EFB" w:rsidRDefault="00A63EFB">
      <w:r>
        <w:separator/>
      </w:r>
    </w:p>
  </w:footnote>
  <w:footnote w:type="continuationSeparator" w:id="0">
    <w:p w14:paraId="68BF2519" w14:textId="77777777" w:rsidR="00A63EFB" w:rsidRDefault="00A63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E5890"/>
    <w:multiLevelType w:val="multilevel"/>
    <w:tmpl w:val="911EB8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C84249D"/>
    <w:multiLevelType w:val="multilevel"/>
    <w:tmpl w:val="8E388D9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75832770">
    <w:abstractNumId w:val="1"/>
  </w:num>
  <w:num w:numId="2" w16cid:durableId="1422726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9AF"/>
    <w:rsid w:val="000233EE"/>
    <w:rsid w:val="000B7FBB"/>
    <w:rsid w:val="000C7C40"/>
    <w:rsid w:val="001C3B73"/>
    <w:rsid w:val="002965E1"/>
    <w:rsid w:val="003C679A"/>
    <w:rsid w:val="00431FE5"/>
    <w:rsid w:val="006C2B19"/>
    <w:rsid w:val="006E0E6B"/>
    <w:rsid w:val="00772856"/>
    <w:rsid w:val="007A19AF"/>
    <w:rsid w:val="007D62D0"/>
    <w:rsid w:val="00894B88"/>
    <w:rsid w:val="009239B2"/>
    <w:rsid w:val="009A3E97"/>
    <w:rsid w:val="00A63EFB"/>
    <w:rsid w:val="00E57F8F"/>
    <w:rsid w:val="00EA729F"/>
    <w:rsid w:val="00EB11C7"/>
    <w:rsid w:val="00ED143E"/>
    <w:rsid w:val="00F8030E"/>
    <w:rsid w:val="00F84AE4"/>
    <w:rsid w:val="00FF64C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82B46"/>
  <w15:docId w15:val="{3F848F7D-732B-452F-A7D0-878FCBA2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BC7D59"/>
    <w:pPr>
      <w:keepNext/>
      <w:jc w:val="center"/>
      <w:outlineLvl w:val="2"/>
    </w:pPr>
    <w:rPr>
      <w:b/>
      <w:bCs/>
      <w:sz w:val="56"/>
    </w:rPr>
  </w:style>
  <w:style w:type="paragraph" w:styleId="Heading4">
    <w:name w:val="heading 4"/>
    <w:basedOn w:val="Normal"/>
    <w:next w:val="Normal"/>
    <w:qFormat/>
    <w:rsid w:val="00BC7D59"/>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6F7C06"/>
  </w:style>
  <w:style w:type="character" w:styleId="Hyperlink">
    <w:name w:val="Hyperlink"/>
    <w:rsid w:val="00777978"/>
    <w:rPr>
      <w:color w:val="0000FF"/>
      <w:u w:val="single"/>
    </w:rPr>
  </w:style>
  <w:style w:type="character" w:customStyle="1" w:styleId="BalloonTextChar">
    <w:name w:val="Balloon Text Char"/>
    <w:link w:val="BalloonText"/>
    <w:qFormat/>
    <w:rsid w:val="006C0B95"/>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rsid w:val="006F7C06"/>
    <w:pPr>
      <w:tabs>
        <w:tab w:val="center" w:pos="4320"/>
        <w:tab w:val="right" w:pos="8640"/>
      </w:tabs>
    </w:pPr>
  </w:style>
  <w:style w:type="paragraph" w:styleId="Footer">
    <w:name w:val="footer"/>
    <w:basedOn w:val="Normal"/>
    <w:rsid w:val="006F7C06"/>
    <w:pPr>
      <w:tabs>
        <w:tab w:val="center" w:pos="4320"/>
        <w:tab w:val="right" w:pos="8640"/>
      </w:tabs>
    </w:pPr>
  </w:style>
  <w:style w:type="paragraph" w:styleId="BalloonText">
    <w:name w:val="Balloon Text"/>
    <w:basedOn w:val="Normal"/>
    <w:link w:val="BalloonTextChar"/>
    <w:qFormat/>
    <w:rsid w:val="006C0B95"/>
    <w:rPr>
      <w:rFonts w:ascii="Segoe UI" w:hAnsi="Segoe UI" w:cs="Segoe UI"/>
      <w:sz w:val="18"/>
      <w:szCs w:val="18"/>
    </w:rPr>
  </w:style>
  <w:style w:type="paragraph" w:styleId="ListParagraph">
    <w:name w:val="List Paragraph"/>
    <w:basedOn w:val="Normal"/>
    <w:uiPriority w:val="34"/>
    <w:qFormat/>
    <w:rsid w:val="009E132F"/>
    <w:pPr>
      <w:ind w:left="720"/>
      <w:contextualSpacing/>
    </w:pPr>
  </w:style>
  <w:style w:type="paragraph" w:customStyle="1" w:styleId="FrameContents">
    <w:name w:val="Frame Contents"/>
    <w:basedOn w:val="Normal"/>
    <w:qFormat/>
  </w:style>
  <w:style w:type="table" w:styleId="TableGrid">
    <w:name w:val="Table Grid"/>
    <w:basedOn w:val="TableNormal"/>
    <w:rsid w:val="00DB7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D6F23-F8EE-4AAE-9866-BDC8EE4FE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2047</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Town Manager’s Budget Message</vt:lpstr>
    </vt:vector>
  </TitlesOfParts>
  <Company>Town of Kenly, NC</Company>
  <LinksUpToDate>false</LinksUpToDate>
  <CharactersWithSpaces>13694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Manager’s Budget Message</dc:title>
  <dc:subject/>
  <dc:creator>Phillip Smith</dc:creator>
  <dc:description/>
  <cp:lastModifiedBy>Christy Thomas</cp:lastModifiedBy>
  <cp:revision>2</cp:revision>
  <cp:lastPrinted>2020-06-16T11:37:00Z</cp:lastPrinted>
  <dcterms:created xsi:type="dcterms:W3CDTF">2023-02-02T20:39:00Z</dcterms:created>
  <dcterms:modified xsi:type="dcterms:W3CDTF">2023-02-02T20:39:00Z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Town of Kenly, 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